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7C" w:rsidRDefault="00DF79E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bookmarkStart w:id="0" w:name="_GoBack"/>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非金融企业外债登记管理改革试点操作指引</w:t>
      </w:r>
    </w:p>
    <w:p w:rsidR="00AF477C" w:rsidRDefault="00DF79E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境内信贷资产对外转让试点业务操作指引</w:t>
      </w:r>
    </w:p>
    <w:bookmarkEnd w:id="0"/>
    <w:p w:rsidR="00AF477C" w:rsidRDefault="00AF477C"/>
    <w:p w:rsidR="00AF477C" w:rsidRDefault="00DF79E7">
      <w:pPr>
        <w:pageBreakBefore/>
        <w:spacing w:line="560" w:lineRule="exact"/>
        <w:rPr>
          <w:rFonts w:ascii="仿宋_GB2312" w:eastAsia="仿宋_GB2312"/>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 xml:space="preserve">1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p>
    <w:p w:rsidR="00AF477C" w:rsidRDefault="00AF477C">
      <w:pPr>
        <w:snapToGrid w:val="0"/>
        <w:spacing w:line="560" w:lineRule="exact"/>
        <w:rPr>
          <w:rFonts w:ascii="仿宋_GB2312" w:eastAsia="仿宋_GB2312"/>
          <w:sz w:val="44"/>
          <w:szCs w:val="44"/>
        </w:rPr>
      </w:pPr>
    </w:p>
    <w:p w:rsidR="00AF477C" w:rsidRDefault="00DF79E7">
      <w:pPr>
        <w:adjustRightInd w:val="0"/>
        <w:snapToGrid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非金融企业外债登记管理</w:t>
      </w:r>
    </w:p>
    <w:p w:rsidR="00AF477C" w:rsidRDefault="00DF79E7">
      <w:pPr>
        <w:adjustRightInd w:val="0"/>
        <w:snapToGrid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改革试点业务操作指引</w:t>
      </w:r>
    </w:p>
    <w:p w:rsidR="00AF477C" w:rsidRDefault="00AF477C">
      <w:pPr>
        <w:snapToGrid w:val="0"/>
        <w:spacing w:line="560" w:lineRule="exact"/>
        <w:rPr>
          <w:rFonts w:ascii="仿宋_GB2312" w:eastAsia="仿宋_GB2312"/>
          <w:sz w:val="32"/>
          <w:szCs w:val="32"/>
        </w:rPr>
      </w:pPr>
    </w:p>
    <w:p w:rsidR="00AF477C" w:rsidRDefault="00DF79E7">
      <w:pPr>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第一条</w:t>
      </w:r>
      <w:r>
        <w:rPr>
          <w:rFonts w:ascii="仿宋_GB2312" w:eastAsia="仿宋_GB2312" w:hint="eastAsia"/>
          <w:sz w:val="32"/>
          <w:szCs w:val="32"/>
        </w:rPr>
        <w:t xml:space="preserve">  </w:t>
      </w:r>
      <w:r>
        <w:rPr>
          <w:rFonts w:ascii="仿宋_GB2312" w:eastAsia="仿宋_GB2312" w:hint="eastAsia"/>
          <w:sz w:val="32"/>
          <w:szCs w:val="32"/>
        </w:rPr>
        <w:t>为贯彻落实《国家外汇管理局关于进一步促进跨境贸易投资便利化的通知》（</w:t>
      </w:r>
      <w:proofErr w:type="gramStart"/>
      <w:r>
        <w:rPr>
          <w:rFonts w:ascii="仿宋_GB2312" w:eastAsia="仿宋_GB2312" w:hint="eastAsia"/>
          <w:sz w:val="32"/>
          <w:szCs w:val="32"/>
        </w:rPr>
        <w:t>汇发〔</w:t>
      </w:r>
      <w:r>
        <w:rPr>
          <w:rFonts w:ascii="仿宋_GB2312" w:eastAsia="仿宋_GB2312" w:hint="eastAsia"/>
          <w:sz w:val="32"/>
          <w:szCs w:val="32"/>
        </w:rPr>
        <w:t>2019</w:t>
      </w:r>
      <w:r>
        <w:rPr>
          <w:rFonts w:ascii="仿宋_GB2312" w:eastAsia="仿宋_GB2312" w:hint="eastAsia"/>
          <w:sz w:val="32"/>
          <w:szCs w:val="32"/>
        </w:rPr>
        <w:t>〕</w:t>
      </w:r>
      <w:proofErr w:type="gramEnd"/>
      <w:r>
        <w:rPr>
          <w:rFonts w:ascii="仿宋_GB2312" w:eastAsia="仿宋_GB2312" w:hint="eastAsia"/>
          <w:sz w:val="32"/>
          <w:szCs w:val="32"/>
        </w:rPr>
        <w:t>28</w:t>
      </w:r>
      <w:r>
        <w:rPr>
          <w:rFonts w:ascii="仿宋_GB2312" w:eastAsia="仿宋_GB2312" w:hint="eastAsia"/>
          <w:sz w:val="32"/>
          <w:szCs w:val="32"/>
        </w:rPr>
        <w:t>号），便利非金融企业办理外债业务，进一步提高跨境融资业务办</w:t>
      </w:r>
      <w:r>
        <w:rPr>
          <w:rFonts w:ascii="仿宋_GB2312" w:eastAsia="仿宋_GB2312" w:hint="eastAsia"/>
          <w:sz w:val="32"/>
          <w:szCs w:val="32"/>
        </w:rPr>
        <w:t>理便利化水平，特制定本指引。</w:t>
      </w:r>
    </w:p>
    <w:p w:rsidR="00AF477C" w:rsidRDefault="00DF79E7">
      <w:pPr>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第二条</w:t>
      </w:r>
      <w:r>
        <w:rPr>
          <w:rFonts w:ascii="仿宋_GB2312" w:eastAsia="仿宋_GB2312" w:hint="eastAsia"/>
          <w:sz w:val="32"/>
          <w:szCs w:val="32"/>
        </w:rPr>
        <w:t xml:space="preserve">  </w:t>
      </w:r>
      <w:r>
        <w:rPr>
          <w:rFonts w:ascii="仿宋_GB2312" w:eastAsia="仿宋_GB2312" w:hint="eastAsia"/>
          <w:sz w:val="32"/>
          <w:szCs w:val="32"/>
        </w:rPr>
        <w:t>本指引所称外债登记管理改革试点，是指辖内符合条件的非金融企业可按照便利</w:t>
      </w:r>
      <w:proofErr w:type="gramStart"/>
      <w:r>
        <w:rPr>
          <w:rFonts w:ascii="仿宋_GB2312" w:eastAsia="仿宋_GB2312" w:hint="eastAsia"/>
          <w:sz w:val="32"/>
          <w:szCs w:val="32"/>
        </w:rPr>
        <w:t>化登记</w:t>
      </w:r>
      <w:proofErr w:type="gramEnd"/>
      <w:r>
        <w:rPr>
          <w:rFonts w:ascii="仿宋_GB2312" w:eastAsia="仿宋_GB2312" w:hint="eastAsia"/>
          <w:sz w:val="32"/>
          <w:szCs w:val="32"/>
        </w:rPr>
        <w:t>程序向所在地外汇局申请办理一次性外债登记的业务。除本指引第五条相关情况外，申请办理一次性外债登记的试点企业可以不再办理外债逐笔签约登记。</w:t>
      </w:r>
    </w:p>
    <w:p w:rsidR="00AF477C" w:rsidRDefault="00DF79E7">
      <w:pPr>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第三条</w:t>
      </w:r>
      <w:r>
        <w:rPr>
          <w:rFonts w:ascii="仿宋_GB2312" w:eastAsia="仿宋_GB2312" w:hint="eastAsia"/>
          <w:sz w:val="32"/>
          <w:szCs w:val="32"/>
        </w:rPr>
        <w:t xml:space="preserve">  </w:t>
      </w:r>
      <w:r>
        <w:rPr>
          <w:rFonts w:ascii="仿宋_GB2312" w:eastAsia="仿宋_GB2312" w:hint="eastAsia"/>
          <w:sz w:val="32"/>
          <w:szCs w:val="32"/>
        </w:rPr>
        <w:t>注册地在</w:t>
      </w:r>
      <w:r>
        <w:rPr>
          <w:rFonts w:ascii="仿宋_GB2312" w:eastAsia="仿宋_GB2312" w:cs="仿宋_GB2312" w:hint="eastAsia"/>
          <w:color w:val="000000"/>
          <w:sz w:val="32"/>
          <w:szCs w:val="32"/>
        </w:rPr>
        <w:t>辖内</w:t>
      </w:r>
      <w:r>
        <w:rPr>
          <w:rFonts w:ascii="仿宋_GB2312" w:eastAsia="仿宋_GB2312" w:hint="eastAsia"/>
          <w:sz w:val="32"/>
          <w:szCs w:val="32"/>
        </w:rPr>
        <w:t>，且满足以下条件的非金融企业法人（以下简称试点企业），可根据实际融资需求申请办理一次性外债登记业务：</w:t>
      </w:r>
    </w:p>
    <w:p w:rsidR="00AF477C" w:rsidRDefault="00DF79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（一）成立时间满一年（含）以上且有实际经营业务活动，并已经选择全口径跨境融资宏观审慎管理模式借用外债的企业；</w:t>
      </w:r>
    </w:p>
    <w:p w:rsidR="00AF477C" w:rsidRDefault="00DF79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（二）近三年无外汇违规行</w:t>
      </w:r>
      <w:r>
        <w:rPr>
          <w:rFonts w:ascii="仿宋_GB2312" w:eastAsia="仿宋_GB2312" w:hint="eastAsia"/>
          <w:sz w:val="32"/>
          <w:szCs w:val="32"/>
        </w:rPr>
        <w:t>政处罚记录的企业</w:t>
      </w:r>
      <w:r>
        <w:rPr>
          <w:rFonts w:ascii="仿宋_GB2312" w:eastAsia="仿宋_GB2312" w:hint="eastAsia"/>
          <w:sz w:val="32"/>
          <w:szCs w:val="32"/>
        </w:rPr>
        <w:t>(</w:t>
      </w:r>
      <w:r>
        <w:rPr>
          <w:rFonts w:ascii="仿宋_GB2312" w:eastAsia="仿宋_GB2312" w:hint="eastAsia"/>
          <w:sz w:val="32"/>
          <w:szCs w:val="32"/>
        </w:rPr>
        <w:t>成立不满三年的企业，自成立之日起无外汇违规行政处罚记录）；</w:t>
      </w:r>
    </w:p>
    <w:p w:rsidR="00AF477C" w:rsidRDefault="00DF79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（三）房地产企业、政府融资平台、融资担保公司、小额贷款公司、典当行、融资租赁公司、</w:t>
      </w:r>
      <w:proofErr w:type="gramStart"/>
      <w:r>
        <w:rPr>
          <w:rFonts w:ascii="仿宋_GB2312" w:eastAsia="仿宋_GB2312" w:hint="eastAsia"/>
          <w:sz w:val="32"/>
          <w:szCs w:val="32"/>
        </w:rPr>
        <w:t>商业保理公司</w:t>
      </w:r>
      <w:proofErr w:type="gramEnd"/>
      <w:r>
        <w:rPr>
          <w:rFonts w:ascii="仿宋_GB2312" w:eastAsia="仿宋_GB2312" w:hint="eastAsia"/>
          <w:sz w:val="32"/>
          <w:szCs w:val="32"/>
        </w:rPr>
        <w:t>、地方</w:t>
      </w:r>
      <w:r>
        <w:rPr>
          <w:rFonts w:ascii="仿宋_GB2312" w:eastAsia="仿宋_GB2312" w:hint="eastAsia"/>
          <w:sz w:val="32"/>
          <w:szCs w:val="32"/>
        </w:rPr>
        <w:lastRenderedPageBreak/>
        <w:t>资产管理公司等机构，以及选择“投注差”模式借用外债的企业，不适用本指引。</w:t>
      </w:r>
    </w:p>
    <w:p w:rsidR="00AF477C" w:rsidRDefault="00DF79E7">
      <w:pPr>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第四条</w:t>
      </w:r>
      <w:r>
        <w:rPr>
          <w:rFonts w:ascii="仿宋_GB2312" w:eastAsia="仿宋_GB2312" w:hint="eastAsia"/>
          <w:sz w:val="32"/>
          <w:szCs w:val="32"/>
        </w:rPr>
        <w:t xml:space="preserve">  </w:t>
      </w:r>
      <w:r>
        <w:rPr>
          <w:rFonts w:ascii="仿宋_GB2312" w:eastAsia="仿宋_GB2312" w:hint="eastAsia"/>
          <w:sz w:val="32"/>
          <w:szCs w:val="32"/>
        </w:rPr>
        <w:t>试点企业一次性外债登记额度不得超过其跨境融资风险加权余额上限。</w:t>
      </w:r>
    </w:p>
    <w:p w:rsidR="00AF477C" w:rsidRDefault="00DF79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试点企业跨境融资风险加权余额上限</w:t>
      </w:r>
      <w:r>
        <w:rPr>
          <w:rFonts w:ascii="仿宋_GB2312" w:eastAsia="仿宋_GB2312" w:hint="eastAsia"/>
          <w:sz w:val="32"/>
          <w:szCs w:val="32"/>
        </w:rPr>
        <w:t>=</w:t>
      </w:r>
      <w:r>
        <w:rPr>
          <w:rFonts w:ascii="仿宋_GB2312" w:eastAsia="仿宋_GB2312" w:hint="eastAsia"/>
          <w:sz w:val="32"/>
          <w:szCs w:val="32"/>
        </w:rPr>
        <w:t>净资产</w:t>
      </w:r>
      <w:r>
        <w:rPr>
          <w:rFonts w:ascii="仿宋_GB2312" w:eastAsia="仿宋_GB2312" w:hint="eastAsia"/>
          <w:sz w:val="32"/>
          <w:szCs w:val="32"/>
        </w:rPr>
        <w:t>*</w:t>
      </w:r>
      <w:r>
        <w:rPr>
          <w:rFonts w:ascii="仿宋_GB2312" w:eastAsia="仿宋_GB2312" w:hint="eastAsia"/>
          <w:sz w:val="32"/>
          <w:szCs w:val="32"/>
        </w:rPr>
        <w:t>跨境融资杠杆率</w:t>
      </w:r>
      <w:r>
        <w:rPr>
          <w:rFonts w:ascii="仿宋_GB2312" w:eastAsia="仿宋_GB2312" w:hint="eastAsia"/>
          <w:sz w:val="32"/>
          <w:szCs w:val="32"/>
        </w:rPr>
        <w:t>*</w:t>
      </w:r>
      <w:r>
        <w:rPr>
          <w:rFonts w:ascii="仿宋_GB2312" w:eastAsia="仿宋_GB2312" w:hint="eastAsia"/>
          <w:sz w:val="32"/>
          <w:szCs w:val="32"/>
        </w:rPr>
        <w:t>宏观审慎调节参数。跨境融资杠杆率初始值设定为</w:t>
      </w:r>
      <w:r>
        <w:rPr>
          <w:rFonts w:ascii="仿宋_GB2312" w:eastAsia="仿宋_GB2312" w:hint="eastAsia"/>
          <w:sz w:val="32"/>
          <w:szCs w:val="32"/>
        </w:rPr>
        <w:t>2</w:t>
      </w:r>
      <w:r>
        <w:rPr>
          <w:rFonts w:ascii="仿宋_GB2312" w:eastAsia="仿宋_GB2312" w:hint="eastAsia"/>
          <w:sz w:val="32"/>
          <w:szCs w:val="32"/>
        </w:rPr>
        <w:t>，宏观审慎调节参数初始值设定为</w:t>
      </w:r>
      <w:r>
        <w:rPr>
          <w:rFonts w:ascii="仿宋_GB2312" w:eastAsia="仿宋_GB2312" w:hint="eastAsia"/>
          <w:sz w:val="32"/>
          <w:szCs w:val="32"/>
        </w:rPr>
        <w:t>1</w:t>
      </w:r>
      <w:r>
        <w:rPr>
          <w:rFonts w:ascii="仿宋_GB2312" w:eastAsia="仿宋_GB2312" w:hint="eastAsia"/>
          <w:sz w:val="32"/>
          <w:szCs w:val="32"/>
        </w:rPr>
        <w:t>。</w:t>
      </w:r>
    </w:p>
    <w:p w:rsidR="00AF477C" w:rsidRDefault="00DF79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试点企业已发生跨境融资的，外汇局应在一次性外债</w:t>
      </w:r>
      <w:r>
        <w:rPr>
          <w:rFonts w:ascii="仿宋_GB2312" w:eastAsia="仿宋_GB2312" w:hint="eastAsia"/>
          <w:sz w:val="32"/>
          <w:szCs w:val="32"/>
        </w:rPr>
        <w:t>登记额度中扣减已逐笔登记的外债签约金额；逐笔登记的外债偿清后，试点企业可向外汇局申请调增一次性外债登记额度。</w:t>
      </w:r>
    </w:p>
    <w:p w:rsidR="00AF477C" w:rsidRDefault="00DF79E7">
      <w:pPr>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第五条</w:t>
      </w:r>
      <w:r>
        <w:rPr>
          <w:rFonts w:ascii="仿宋_GB2312" w:eastAsia="仿宋_GB2312" w:hint="eastAsia"/>
          <w:sz w:val="32"/>
          <w:szCs w:val="32"/>
        </w:rPr>
        <w:t xml:space="preserve">  </w:t>
      </w:r>
      <w:r>
        <w:rPr>
          <w:rFonts w:ascii="仿宋_GB2312" w:eastAsia="仿宋_GB2312" w:hint="eastAsia"/>
          <w:sz w:val="32"/>
          <w:szCs w:val="32"/>
        </w:rPr>
        <w:t>试点企业内保</w:t>
      </w:r>
      <w:proofErr w:type="gramStart"/>
      <w:r>
        <w:rPr>
          <w:rFonts w:ascii="仿宋_GB2312" w:eastAsia="仿宋_GB2312" w:hint="eastAsia"/>
          <w:sz w:val="32"/>
          <w:szCs w:val="32"/>
        </w:rPr>
        <w:t>外贷项下</w:t>
      </w:r>
      <w:proofErr w:type="gramEnd"/>
      <w:r>
        <w:rPr>
          <w:rFonts w:ascii="仿宋_GB2312" w:eastAsia="仿宋_GB2312" w:hint="eastAsia"/>
          <w:sz w:val="32"/>
          <w:szCs w:val="32"/>
        </w:rPr>
        <w:t>资金以外债形式调回境内、在境外发行债券、外保内贷履约外债登记的，需到所在地外汇局办理逐笔外债签约登记。外汇局按逐笔登记的签约</w:t>
      </w:r>
      <w:proofErr w:type="gramStart"/>
      <w:r>
        <w:rPr>
          <w:rFonts w:ascii="仿宋_GB2312" w:eastAsia="仿宋_GB2312" w:hint="eastAsia"/>
          <w:sz w:val="32"/>
          <w:szCs w:val="32"/>
        </w:rPr>
        <w:t>额相应</w:t>
      </w:r>
      <w:proofErr w:type="gramEnd"/>
      <w:r>
        <w:rPr>
          <w:rFonts w:ascii="仿宋_GB2312" w:eastAsia="仿宋_GB2312" w:hint="eastAsia"/>
          <w:sz w:val="32"/>
          <w:szCs w:val="32"/>
        </w:rPr>
        <w:t>扣减一次性外债登记额度。</w:t>
      </w:r>
    </w:p>
    <w:p w:rsidR="00AF477C" w:rsidRDefault="00DF79E7">
      <w:pPr>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第六条</w:t>
      </w:r>
      <w:r>
        <w:rPr>
          <w:rFonts w:ascii="仿宋_GB2312" w:eastAsia="仿宋_GB2312" w:hint="eastAsia"/>
          <w:sz w:val="32"/>
          <w:szCs w:val="32"/>
        </w:rPr>
        <w:t xml:space="preserve">  </w:t>
      </w:r>
      <w:r>
        <w:rPr>
          <w:rFonts w:ascii="仿宋_GB2312" w:eastAsia="仿宋_GB2312" w:hint="eastAsia"/>
          <w:sz w:val="32"/>
          <w:szCs w:val="32"/>
        </w:rPr>
        <w:t>试点企业办理一次性外债登记时，需向所在地外汇局提供以下材料：</w:t>
      </w:r>
    </w:p>
    <w:p w:rsidR="00AF477C" w:rsidRDefault="00DF79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（一）申请书（含基本情况、拟申请一次性登记外债金额、近三年无外汇违规行政处罚记录的情况说明等）；</w:t>
      </w:r>
    </w:p>
    <w:p w:rsidR="00AF477C" w:rsidRDefault="00DF79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（二）营业执照；</w:t>
      </w:r>
    </w:p>
    <w:p w:rsidR="00AF477C" w:rsidRDefault="00DF79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（三）最近一期经审计的财务报告。</w:t>
      </w:r>
    </w:p>
    <w:p w:rsidR="00AF477C" w:rsidRDefault="00DF79E7">
      <w:pPr>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第七条</w:t>
      </w:r>
      <w:r>
        <w:rPr>
          <w:rFonts w:ascii="仿宋_GB2312" w:eastAsia="仿宋_GB2312" w:hint="eastAsia"/>
          <w:sz w:val="32"/>
          <w:szCs w:val="32"/>
        </w:rPr>
        <w:t xml:space="preserve">  </w:t>
      </w:r>
      <w:r>
        <w:rPr>
          <w:rFonts w:ascii="仿宋_GB2312" w:eastAsia="仿宋_GB2312" w:hint="eastAsia"/>
          <w:sz w:val="32"/>
          <w:szCs w:val="32"/>
        </w:rPr>
        <w:t>试点企业办理一次性外债登记后，可在登记额度内</w:t>
      </w:r>
      <w:proofErr w:type="gramStart"/>
      <w:r>
        <w:rPr>
          <w:rFonts w:ascii="仿宋_GB2312" w:eastAsia="仿宋_GB2312" w:hint="eastAsia"/>
          <w:sz w:val="32"/>
          <w:szCs w:val="32"/>
        </w:rPr>
        <w:t>凭业务</w:t>
      </w:r>
      <w:proofErr w:type="gramEnd"/>
      <w:r>
        <w:rPr>
          <w:rFonts w:ascii="仿宋_GB2312" w:eastAsia="仿宋_GB2312" w:hint="eastAsia"/>
          <w:sz w:val="32"/>
          <w:szCs w:val="32"/>
        </w:rPr>
        <w:t>登记凭证在银行办理外债账户开立、外债资金汇出入和结售汇手续。外债资金应按照外债合同和外债管理规定允许的用途使用。</w:t>
      </w:r>
    </w:p>
    <w:p w:rsidR="00AF477C" w:rsidRDefault="00DF79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试点企业应将所涉相关外债合同、结汇及资金使用等证明材料保存五年备查。</w:t>
      </w:r>
    </w:p>
    <w:p w:rsidR="00AF477C" w:rsidRDefault="00DF79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试点企业向离岸银行借用的商业贷款视同外债管理。发生提款和还本付息时，试点企业需到所在地外汇局逐笔办理非资金划转类提款、还本付息备案。</w:t>
      </w:r>
    </w:p>
    <w:p w:rsidR="00AF477C" w:rsidRDefault="00DF79E7">
      <w:pPr>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第八条</w:t>
      </w:r>
      <w:r>
        <w:rPr>
          <w:rFonts w:ascii="仿宋_GB2312" w:eastAsia="仿宋_GB2312" w:hint="eastAsia"/>
          <w:sz w:val="32"/>
          <w:szCs w:val="32"/>
        </w:rPr>
        <w:t xml:space="preserve">  </w:t>
      </w:r>
      <w:r>
        <w:rPr>
          <w:rFonts w:ascii="仿宋_GB2312" w:eastAsia="仿宋_GB2312" w:hint="eastAsia"/>
          <w:sz w:val="32"/>
          <w:szCs w:val="32"/>
        </w:rPr>
        <w:t>银行根据试点企业的申请，审核试点企业提供的外债合同等真实性证明材料后，按规定为试点企业开立、关闭外债账户以及办理外债提款、结汇、购汇、偿还等手续，并留存相关材料五年备查。</w:t>
      </w:r>
    </w:p>
    <w:p w:rsidR="00AF477C" w:rsidRDefault="00DF79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银行应当建立健全内控制度，按照了解客户、了解业务、尽职审查的展业三原则</w:t>
      </w:r>
      <w:proofErr w:type="gramStart"/>
      <w:r>
        <w:rPr>
          <w:rFonts w:ascii="仿宋_GB2312" w:eastAsia="仿宋_GB2312" w:hint="eastAsia"/>
          <w:sz w:val="32"/>
          <w:szCs w:val="32"/>
        </w:rPr>
        <w:t>完善全业务</w:t>
      </w:r>
      <w:proofErr w:type="gramEnd"/>
      <w:r>
        <w:rPr>
          <w:rFonts w:ascii="仿宋_GB2312" w:eastAsia="仿宋_GB2312" w:hint="eastAsia"/>
          <w:sz w:val="32"/>
          <w:szCs w:val="32"/>
        </w:rPr>
        <w:t>流程的真实性和合</w:t>
      </w:r>
      <w:proofErr w:type="gramStart"/>
      <w:r>
        <w:rPr>
          <w:rFonts w:ascii="仿宋_GB2312" w:eastAsia="仿宋_GB2312" w:hint="eastAsia"/>
          <w:sz w:val="32"/>
          <w:szCs w:val="32"/>
        </w:rPr>
        <w:t>规</w:t>
      </w:r>
      <w:proofErr w:type="gramEnd"/>
      <w:r>
        <w:rPr>
          <w:rFonts w:ascii="仿宋_GB2312" w:eastAsia="仿宋_GB2312" w:hint="eastAsia"/>
          <w:sz w:val="32"/>
          <w:szCs w:val="32"/>
        </w:rPr>
        <w:t>性审查机制并办理业务，应加强事后监督，发现异常或可疑情况的，及时报告外汇局。</w:t>
      </w:r>
    </w:p>
    <w:p w:rsidR="00AF477C" w:rsidRDefault="00DF79E7">
      <w:pPr>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第九条</w:t>
      </w:r>
      <w:r>
        <w:rPr>
          <w:rFonts w:ascii="仿宋_GB2312" w:eastAsia="仿宋_GB2312" w:hint="eastAsia"/>
          <w:sz w:val="32"/>
          <w:szCs w:val="32"/>
        </w:rPr>
        <w:t xml:space="preserve">  </w:t>
      </w:r>
      <w:r>
        <w:rPr>
          <w:rFonts w:ascii="仿宋_GB2312" w:eastAsia="仿宋_GB2312" w:hint="eastAsia"/>
          <w:sz w:val="32"/>
          <w:szCs w:val="32"/>
        </w:rPr>
        <w:t>试点企业按本指引办理一次性外债登记后一年内未实际发生外债提款的，外汇局有权将一次性外债登记额度调为零。</w:t>
      </w:r>
    </w:p>
    <w:p w:rsidR="00AF477C" w:rsidRDefault="00DF79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试点企业当年净资产较上年</w:t>
      </w:r>
      <w:proofErr w:type="gramStart"/>
      <w:r>
        <w:rPr>
          <w:rFonts w:ascii="仿宋_GB2312" w:eastAsia="仿宋_GB2312" w:hint="eastAsia"/>
          <w:sz w:val="32"/>
          <w:szCs w:val="32"/>
        </w:rPr>
        <w:t>末经</w:t>
      </w:r>
      <w:proofErr w:type="gramEnd"/>
      <w:r>
        <w:rPr>
          <w:rFonts w:ascii="仿宋_GB2312" w:eastAsia="仿宋_GB2312" w:hint="eastAsia"/>
          <w:sz w:val="32"/>
          <w:szCs w:val="32"/>
        </w:rPr>
        <w:t>审计的净资产上下浮</w:t>
      </w:r>
      <w:r>
        <w:rPr>
          <w:rFonts w:ascii="仿宋_GB2312" w:eastAsia="仿宋_GB2312" w:hint="eastAsia"/>
          <w:sz w:val="32"/>
          <w:szCs w:val="32"/>
        </w:rPr>
        <w:t>动超过</w:t>
      </w:r>
      <w:r>
        <w:rPr>
          <w:rFonts w:ascii="仿宋_GB2312" w:eastAsia="仿宋_GB2312" w:hint="eastAsia"/>
          <w:sz w:val="32"/>
          <w:szCs w:val="32"/>
        </w:rPr>
        <w:t>20%</w:t>
      </w:r>
      <w:r>
        <w:rPr>
          <w:rFonts w:ascii="仿宋_GB2312" w:eastAsia="仿宋_GB2312" w:hint="eastAsia"/>
          <w:sz w:val="32"/>
          <w:szCs w:val="32"/>
        </w:rPr>
        <w:t>（含）的，应主动向所在地外汇局报告，申请调整一次性登记外债金额。</w:t>
      </w:r>
    </w:p>
    <w:p w:rsidR="00AF477C" w:rsidRDefault="00DF79E7">
      <w:pPr>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第十条</w:t>
      </w:r>
      <w:r>
        <w:rPr>
          <w:rFonts w:ascii="仿宋_GB2312" w:eastAsia="仿宋_GB2312" w:hint="eastAsia"/>
          <w:sz w:val="32"/>
          <w:szCs w:val="32"/>
        </w:rPr>
        <w:t xml:space="preserve">  </w:t>
      </w:r>
      <w:r>
        <w:rPr>
          <w:rFonts w:ascii="仿宋_GB2312" w:eastAsia="仿宋_GB2312" w:hint="eastAsia"/>
          <w:sz w:val="32"/>
          <w:szCs w:val="32"/>
        </w:rPr>
        <w:t>外汇局对外债登记管理改革试点业务实施监督管理，跟踪、监测和核查试点业务开展情况。</w:t>
      </w:r>
    </w:p>
    <w:p w:rsidR="00AF477C" w:rsidRDefault="00DF79E7">
      <w:pPr>
        <w:pageBreakBefore/>
        <w:adjustRightInd w:val="0"/>
        <w:snapToGrid w:val="0"/>
        <w:spacing w:line="560" w:lineRule="exact"/>
        <w:rPr>
          <w:rFonts w:ascii="黑体" w:eastAsia="黑体" w:hAnsi="黑体" w:cs="仿宋_GB2312"/>
          <w:bCs/>
          <w:sz w:val="40"/>
          <w:szCs w:val="44"/>
        </w:rPr>
      </w:pPr>
      <w:r>
        <w:rPr>
          <w:rFonts w:ascii="黑体" w:eastAsia="黑体" w:hAnsi="黑体" w:cs="黑体" w:hint="eastAsia"/>
          <w:sz w:val="32"/>
          <w:szCs w:val="32"/>
        </w:rPr>
        <w:lastRenderedPageBreak/>
        <w:t>附件</w:t>
      </w:r>
      <w:r>
        <w:rPr>
          <w:rFonts w:ascii="黑体" w:eastAsia="黑体" w:hAnsi="黑体" w:cs="黑体" w:hint="eastAsia"/>
          <w:sz w:val="32"/>
          <w:szCs w:val="32"/>
        </w:rPr>
        <w:t xml:space="preserve">2  </w:t>
      </w:r>
      <w:r>
        <w:rPr>
          <w:rFonts w:ascii="仿宋_GB2312" w:eastAsia="仿宋_GB2312" w:hint="eastAsia"/>
          <w:sz w:val="32"/>
          <w:szCs w:val="32"/>
        </w:rPr>
        <w:t xml:space="preserve">   </w:t>
      </w:r>
    </w:p>
    <w:p w:rsidR="00AF477C" w:rsidRDefault="00AF477C">
      <w:pPr>
        <w:widowControl/>
        <w:adjustRightInd w:val="0"/>
        <w:snapToGrid w:val="0"/>
        <w:spacing w:line="560" w:lineRule="exact"/>
        <w:jc w:val="center"/>
        <w:rPr>
          <w:rFonts w:ascii="方正小标宋_GBK" w:eastAsia="方正小标宋_GBK" w:hAnsi="方正小标宋_GBK" w:cs="方正小标宋_GBK"/>
          <w:sz w:val="44"/>
          <w:szCs w:val="44"/>
        </w:rPr>
      </w:pPr>
    </w:p>
    <w:p w:rsidR="00AF477C" w:rsidRDefault="00DF79E7">
      <w:pPr>
        <w:widowControl/>
        <w:adjustRightInd w:val="0"/>
        <w:snapToGrid w:val="0"/>
        <w:spacing w:line="560" w:lineRule="exact"/>
        <w:jc w:val="center"/>
        <w:rPr>
          <w:rFonts w:ascii="黑体" w:eastAsia="黑体" w:hAnsi="黑体" w:cs="仿宋_GB2312"/>
          <w:bCs/>
          <w:sz w:val="40"/>
          <w:szCs w:val="44"/>
        </w:rPr>
      </w:pPr>
      <w:r>
        <w:rPr>
          <w:rFonts w:ascii="方正小标宋_GBK" w:eastAsia="方正小标宋_GBK" w:hAnsi="方正小标宋_GBK" w:cs="方正小标宋_GBK" w:hint="eastAsia"/>
          <w:sz w:val="44"/>
          <w:szCs w:val="44"/>
        </w:rPr>
        <w:t>境内信贷资产对外转让试点业务操作指引</w:t>
      </w:r>
    </w:p>
    <w:p w:rsidR="00AF477C" w:rsidRDefault="00AF477C">
      <w:pPr>
        <w:spacing w:line="360" w:lineRule="auto"/>
        <w:ind w:firstLineChars="200" w:firstLine="643"/>
        <w:rPr>
          <w:rFonts w:ascii="仿宋_GB2312" w:eastAsia="仿宋_GB2312" w:hAnsi="仿宋_GB2312" w:cs="仿宋_GB2312"/>
          <w:b/>
          <w:sz w:val="32"/>
          <w:szCs w:val="32"/>
        </w:rPr>
      </w:pPr>
    </w:p>
    <w:p w:rsidR="00AF477C" w:rsidRDefault="00DF79E7">
      <w:pPr>
        <w:adjustRightInd w:val="0"/>
        <w:snapToGrid w:val="0"/>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sz w:val="32"/>
          <w:szCs w:val="32"/>
        </w:rPr>
        <w:t>第一条</w:t>
      </w:r>
      <w:r>
        <w:rPr>
          <w:rFonts w:ascii="仿宋_GB2312" w:eastAsia="仿宋_GB2312" w:hint="eastAsia"/>
          <w:sz w:val="32"/>
          <w:szCs w:val="32"/>
        </w:rPr>
        <w:t xml:space="preserve">  </w:t>
      </w:r>
      <w:r>
        <w:rPr>
          <w:rFonts w:ascii="仿宋_GB2312" w:eastAsia="仿宋_GB2312" w:hint="eastAsia"/>
          <w:sz w:val="32"/>
          <w:szCs w:val="32"/>
        </w:rPr>
        <w:t>为贯彻落实《国家外汇管理局关于进一步促进跨境贸易投资便利化的通知》（</w:t>
      </w:r>
      <w:proofErr w:type="gramStart"/>
      <w:r>
        <w:rPr>
          <w:rFonts w:ascii="仿宋_GB2312" w:eastAsia="仿宋_GB2312" w:hint="eastAsia"/>
          <w:sz w:val="32"/>
          <w:szCs w:val="32"/>
        </w:rPr>
        <w:t>汇发〔</w:t>
      </w:r>
      <w:r>
        <w:rPr>
          <w:rFonts w:ascii="仿宋_GB2312" w:eastAsia="仿宋_GB2312" w:hint="eastAsia"/>
          <w:sz w:val="32"/>
          <w:szCs w:val="32"/>
        </w:rPr>
        <w:t>2019</w:t>
      </w:r>
      <w:r>
        <w:rPr>
          <w:rFonts w:ascii="仿宋_GB2312" w:eastAsia="仿宋_GB2312" w:hint="eastAsia"/>
          <w:sz w:val="32"/>
          <w:szCs w:val="32"/>
        </w:rPr>
        <w:t>〕</w:t>
      </w:r>
      <w:proofErr w:type="gramEnd"/>
      <w:r>
        <w:rPr>
          <w:rFonts w:ascii="仿宋_GB2312" w:eastAsia="仿宋_GB2312" w:hint="eastAsia"/>
          <w:sz w:val="32"/>
          <w:szCs w:val="32"/>
        </w:rPr>
        <w:t>28</w:t>
      </w:r>
      <w:r>
        <w:rPr>
          <w:rFonts w:ascii="仿宋_GB2312" w:eastAsia="仿宋_GB2312" w:hint="eastAsia"/>
          <w:sz w:val="32"/>
          <w:szCs w:val="32"/>
        </w:rPr>
        <w:t>号）要求</w:t>
      </w:r>
      <w:r>
        <w:rPr>
          <w:rFonts w:ascii="仿宋_GB2312" w:eastAsia="仿宋_GB2312" w:hAnsi="仿宋" w:cs="仿宋" w:hint="eastAsia"/>
          <w:color w:val="000000"/>
          <w:sz w:val="32"/>
          <w:szCs w:val="32"/>
        </w:rPr>
        <w:t>，</w:t>
      </w:r>
      <w:r>
        <w:rPr>
          <w:rFonts w:ascii="仿宋_GB2312" w:eastAsia="仿宋_GB2312" w:hAnsi="仿宋_GB2312" w:cs="仿宋_GB2312" w:hint="eastAsia"/>
          <w:color w:val="000000"/>
          <w:sz w:val="32"/>
          <w:szCs w:val="32"/>
        </w:rPr>
        <w:t>拓宽境内信贷资产对外转让渠道，特制定本指引</w:t>
      </w:r>
      <w:r>
        <w:rPr>
          <w:rFonts w:ascii="仿宋_GB2312" w:eastAsia="仿宋_GB2312" w:hAnsi="仿宋_GB2312" w:cs="仿宋_GB2312" w:hint="eastAsia"/>
          <w:sz w:val="32"/>
          <w:szCs w:val="32"/>
        </w:rPr>
        <w:t>。</w:t>
      </w:r>
    </w:p>
    <w:p w:rsidR="00AF477C" w:rsidRDefault="00DF79E7">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指引所称境内信贷资产对外转让，仅限于银行不良贷款和银行贸易融资资产向境外转出。银行不良贷款是指辖内银行经营过程中形成的不良贷款（含金融资产管理公司合法取得的银行不良贷款），银行贸易融资是指</w:t>
      </w:r>
      <w:r>
        <w:rPr>
          <w:rFonts w:ascii="仿宋" w:eastAsia="仿宋" w:hAnsi="仿宋" w:cs="仿宋" w:hint="eastAsia"/>
          <w:sz w:val="32"/>
          <w:szCs w:val="32"/>
        </w:rPr>
        <w:t>辖内</w:t>
      </w:r>
      <w:r>
        <w:rPr>
          <w:rFonts w:ascii="仿宋_GB2312" w:eastAsia="仿宋_GB2312" w:hAnsi="仿宋_GB2312" w:cs="仿宋_GB2312" w:hint="eastAsia"/>
          <w:sz w:val="32"/>
          <w:szCs w:val="32"/>
        </w:rPr>
        <w:t>银行因办理基于真实跨境贸易结算所产生的银行贸易融资资产。</w:t>
      </w:r>
    </w:p>
    <w:p w:rsidR="00AF477C" w:rsidRDefault="00DF79E7">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sz w:val="32"/>
          <w:szCs w:val="32"/>
        </w:rPr>
        <w:t xml:space="preserve">  </w:t>
      </w:r>
      <w:r>
        <w:rPr>
          <w:rFonts w:ascii="仿宋" w:eastAsia="仿宋" w:hAnsi="仿宋" w:cs="仿宋" w:hint="eastAsia"/>
          <w:sz w:val="32"/>
          <w:szCs w:val="32"/>
        </w:rPr>
        <w:t>辖内</w:t>
      </w:r>
      <w:r>
        <w:rPr>
          <w:rFonts w:ascii="仿宋_GB2312" w:eastAsia="仿宋_GB2312" w:hAnsi="仿宋_GB2312" w:cs="仿宋_GB2312" w:hint="eastAsia"/>
          <w:sz w:val="32"/>
          <w:szCs w:val="32"/>
        </w:rPr>
        <w:t>机构</w:t>
      </w:r>
      <w:r>
        <w:rPr>
          <w:rFonts w:ascii="仿宋_GB2312" w:eastAsia="仿宋_GB2312" w:hAnsi="仿宋" w:cs="仿宋_GB2312" w:hint="eastAsia"/>
          <w:sz w:val="32"/>
          <w:szCs w:val="32"/>
        </w:rPr>
        <w:t>（含银行和代理机构）</w:t>
      </w:r>
      <w:r>
        <w:rPr>
          <w:rFonts w:ascii="仿宋_GB2312" w:eastAsia="仿宋_GB2312" w:hAnsi="仿宋_GB2312" w:cs="仿宋_GB2312" w:hint="eastAsia"/>
          <w:sz w:val="32"/>
          <w:szCs w:val="32"/>
        </w:rPr>
        <w:t>开展境内信贷资产对外转让试点业务，应遵守本指引和发展改革委、财政部、商务部、中国人民银行和银保监会等相关部门的规定，并符合国家产业政策等相关要求。</w:t>
      </w:r>
    </w:p>
    <w:p w:rsidR="00AF477C" w:rsidRDefault="00DF79E7">
      <w:pPr>
        <w:adjustRightInd w:val="0"/>
        <w:snapToGrid w:val="0"/>
        <w:spacing w:line="560" w:lineRule="exact"/>
        <w:ind w:firstLineChars="200" w:firstLine="643"/>
        <w:rPr>
          <w:rFonts w:ascii="仿宋_GB2312" w:eastAsia="仿宋_GB2312" w:hAnsi="仿宋_GB2312" w:cs="仿宋_GB2312"/>
          <w:sz w:val="32"/>
          <w:szCs w:val="32"/>
          <w:u w:val="single"/>
        </w:rPr>
      </w:pPr>
      <w:r>
        <w:rPr>
          <w:rFonts w:ascii="仿宋_GB2312" w:eastAsia="仿宋_GB2312" w:hAnsi="仿宋" w:cs="仿宋" w:hint="eastAsia"/>
          <w:b/>
          <w:color w:val="000000"/>
          <w:sz w:val="32"/>
          <w:szCs w:val="32"/>
        </w:rPr>
        <w:t>第四条</w:t>
      </w: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rPr>
        <w:t>国家外汇管理局海南省</w:t>
      </w:r>
      <w:r>
        <w:rPr>
          <w:rFonts w:ascii="仿宋_GB2312" w:eastAsia="仿宋_GB2312" w:hint="eastAsia"/>
          <w:sz w:val="32"/>
          <w:szCs w:val="32"/>
        </w:rPr>
        <w:t>分局（以下简称海南省分局）参照外债管理规</w:t>
      </w:r>
      <w:r>
        <w:rPr>
          <w:rFonts w:ascii="仿宋_GB2312" w:eastAsia="仿宋_GB2312" w:hint="eastAsia"/>
          <w:sz w:val="32"/>
          <w:szCs w:val="32"/>
        </w:rPr>
        <w:t>定，</w:t>
      </w:r>
      <w:r>
        <w:rPr>
          <w:rFonts w:ascii="仿宋_GB2312" w:eastAsia="仿宋_GB2312" w:hAnsi="仿宋_GB2312" w:cs="仿宋_GB2312" w:hint="eastAsia"/>
          <w:sz w:val="32"/>
          <w:szCs w:val="32"/>
        </w:rPr>
        <w:t>对境内信贷资产对外转让试点业务实行逐笔登记，对境内信贷资产对外转让形成的外债，</w:t>
      </w:r>
      <w:r>
        <w:rPr>
          <w:rFonts w:ascii="仿宋_GB2312" w:eastAsia="仿宋_GB2312" w:hAnsi="仿宋" w:cs="仿宋_GB2312" w:hint="eastAsia"/>
          <w:sz w:val="32"/>
          <w:szCs w:val="32"/>
        </w:rPr>
        <w:t>不纳入银行和代理机构自身跨境融资风险加权余额计算。</w:t>
      </w:r>
    </w:p>
    <w:p w:rsidR="00AF477C" w:rsidRDefault="00DF79E7">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 w:cs="仿宋" w:hint="eastAsia"/>
          <w:b/>
          <w:color w:val="000000"/>
          <w:sz w:val="32"/>
          <w:szCs w:val="32"/>
        </w:rPr>
        <w:t>第五条</w:t>
      </w:r>
      <w:r>
        <w:rPr>
          <w:rFonts w:ascii="仿宋_GB2312" w:eastAsia="仿宋_GB2312" w:hint="eastAsia"/>
          <w:sz w:val="32"/>
          <w:szCs w:val="32"/>
        </w:rPr>
        <w:t xml:space="preserve">  </w:t>
      </w:r>
      <w:r>
        <w:rPr>
          <w:rFonts w:ascii="仿宋" w:eastAsia="仿宋" w:hAnsi="仿宋" w:cs="仿宋" w:hint="eastAsia"/>
          <w:sz w:val="32"/>
          <w:szCs w:val="32"/>
        </w:rPr>
        <w:t>辖内</w:t>
      </w:r>
      <w:r>
        <w:rPr>
          <w:rFonts w:ascii="仿宋_GB2312" w:eastAsia="仿宋_GB2312" w:hint="eastAsia"/>
          <w:sz w:val="32"/>
          <w:szCs w:val="32"/>
        </w:rPr>
        <w:t>银行直接对外转让不良贷款的，应具备完善的内控制度和风险管理制度，并向海南省分局事前逐笔备案，并提交以下备案材料：</w:t>
      </w:r>
    </w:p>
    <w:p w:rsidR="00AF477C" w:rsidRDefault="00DF79E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（一）备案申请书；</w:t>
      </w:r>
      <w:r>
        <w:rPr>
          <w:rFonts w:ascii="仿宋_GB2312" w:eastAsia="仿宋_GB2312"/>
          <w:sz w:val="32"/>
          <w:szCs w:val="32"/>
        </w:rPr>
        <w:t xml:space="preserve"> </w:t>
      </w:r>
    </w:p>
    <w:p w:rsidR="00AF477C" w:rsidRDefault="00DF79E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（二）对外转让不良贷款情况及对外转让协议（</w:t>
      </w:r>
      <w:proofErr w:type="gramStart"/>
      <w:r>
        <w:rPr>
          <w:rFonts w:ascii="仿宋_GB2312" w:eastAsia="仿宋_GB2312" w:hint="eastAsia"/>
          <w:sz w:val="32"/>
          <w:szCs w:val="32"/>
        </w:rPr>
        <w:t>含关于</w:t>
      </w:r>
      <w:proofErr w:type="gramEnd"/>
      <w:r>
        <w:rPr>
          <w:rFonts w:ascii="仿宋_GB2312" w:eastAsia="仿宋_GB2312" w:hint="eastAsia"/>
          <w:sz w:val="32"/>
          <w:szCs w:val="32"/>
        </w:rPr>
        <w:t>转让资产合法合</w:t>
      </w:r>
      <w:proofErr w:type="gramStart"/>
      <w:r>
        <w:rPr>
          <w:rFonts w:ascii="仿宋_GB2312" w:eastAsia="仿宋_GB2312" w:hint="eastAsia"/>
          <w:sz w:val="32"/>
          <w:szCs w:val="32"/>
        </w:rPr>
        <w:t>规</w:t>
      </w:r>
      <w:proofErr w:type="gramEnd"/>
      <w:r>
        <w:rPr>
          <w:rFonts w:ascii="仿宋_GB2312" w:eastAsia="仿宋_GB2312" w:hint="eastAsia"/>
          <w:sz w:val="32"/>
          <w:szCs w:val="32"/>
        </w:rPr>
        <w:t>真实的承诺书或相关证明材料、底层贷款和资产担保情况）；</w:t>
      </w:r>
    </w:p>
    <w:p w:rsidR="00AF477C" w:rsidRDefault="00DF79E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（三）首次开展业务的银行，还应提交合</w:t>
      </w:r>
      <w:proofErr w:type="gramStart"/>
      <w:r>
        <w:rPr>
          <w:rFonts w:ascii="仿宋_GB2312" w:eastAsia="仿宋_GB2312" w:hint="eastAsia"/>
          <w:sz w:val="32"/>
          <w:szCs w:val="32"/>
        </w:rPr>
        <w:t>规</w:t>
      </w:r>
      <w:proofErr w:type="gramEnd"/>
      <w:r>
        <w:rPr>
          <w:rFonts w:ascii="仿宋_GB2312" w:eastAsia="仿宋_GB2312" w:hint="eastAsia"/>
          <w:sz w:val="32"/>
          <w:szCs w:val="32"/>
        </w:rPr>
        <w:t>经营、审慎展业，具备完善内控管理制度等相关证明材料。</w:t>
      </w:r>
    </w:p>
    <w:p w:rsidR="00AF477C" w:rsidRDefault="00DF79E7">
      <w:pPr>
        <w:pStyle w:val="1"/>
        <w:tabs>
          <w:tab w:val="left" w:pos="0"/>
        </w:tabs>
        <w:adjustRightInd w:val="0"/>
        <w:snapToGrid w:val="0"/>
        <w:spacing w:line="560" w:lineRule="exact"/>
        <w:ind w:firstLineChars="202" w:firstLine="646"/>
        <w:rPr>
          <w:rFonts w:ascii="仿宋_GB2312" w:eastAsia="仿宋_GB2312"/>
          <w:sz w:val="32"/>
          <w:szCs w:val="32"/>
        </w:rPr>
      </w:pPr>
      <w:r>
        <w:rPr>
          <w:rFonts w:ascii="仿宋_GB2312" w:eastAsia="仿宋_GB2312" w:hint="eastAsia"/>
          <w:sz w:val="32"/>
          <w:szCs w:val="32"/>
        </w:rPr>
        <w:t>海南省分局备案通过后，向申请银行出具《国家外汇管理局海南省分局资本项目外汇业务备案通知书》（格式见附件</w:t>
      </w:r>
      <w:r>
        <w:rPr>
          <w:rFonts w:ascii="仿宋_GB2312" w:eastAsia="仿宋_GB2312" w:hint="eastAsia"/>
          <w:sz w:val="32"/>
          <w:szCs w:val="32"/>
        </w:rPr>
        <w:t>2-1</w:t>
      </w:r>
      <w:r>
        <w:rPr>
          <w:rFonts w:ascii="仿宋_GB2312" w:eastAsia="仿宋_GB2312" w:hint="eastAsia"/>
          <w:sz w:val="32"/>
          <w:szCs w:val="32"/>
        </w:rPr>
        <w:t>）。</w:t>
      </w:r>
    </w:p>
    <w:p w:rsidR="00AF477C" w:rsidRDefault="00DF79E7">
      <w:pPr>
        <w:pStyle w:val="1"/>
        <w:tabs>
          <w:tab w:val="left" w:pos="0"/>
        </w:tabs>
        <w:adjustRightInd w:val="0"/>
        <w:snapToGrid w:val="0"/>
        <w:spacing w:line="560" w:lineRule="exact"/>
        <w:ind w:firstLineChars="202" w:firstLine="646"/>
        <w:rPr>
          <w:rFonts w:ascii="仿宋_GB2312" w:eastAsia="仿宋_GB2312" w:hAnsi="仿宋" w:cs="仿宋_GB2312"/>
          <w:sz w:val="32"/>
          <w:szCs w:val="32"/>
        </w:rPr>
      </w:pPr>
      <w:r>
        <w:rPr>
          <w:rFonts w:ascii="仿宋" w:eastAsia="仿宋" w:hAnsi="仿宋" w:cs="仿宋" w:hint="eastAsia"/>
          <w:sz w:val="32"/>
          <w:szCs w:val="32"/>
        </w:rPr>
        <w:t>辖内</w:t>
      </w:r>
      <w:r>
        <w:rPr>
          <w:rFonts w:ascii="仿宋_GB2312" w:eastAsia="仿宋_GB2312" w:hAnsi="仿宋" w:cs="仿宋_GB2312" w:hint="eastAsia"/>
          <w:sz w:val="32"/>
          <w:szCs w:val="32"/>
        </w:rPr>
        <w:t>银行直接对外转让不良贷款试点业务形成的外债，按照现行外债管理规定办理外债登记，债务类型登记为“外债</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其他贷款”，在“项目名称”中注明“银行不良贷款对外转让”，在备注栏中注明“实际债务人为境内企业”。</w:t>
      </w:r>
    </w:p>
    <w:p w:rsidR="00AF477C" w:rsidRDefault="00DF79E7">
      <w:pPr>
        <w:pStyle w:val="1"/>
        <w:tabs>
          <w:tab w:val="left" w:pos="0"/>
        </w:tabs>
        <w:adjustRightInd w:val="0"/>
        <w:snapToGrid w:val="0"/>
        <w:spacing w:line="560" w:lineRule="exact"/>
        <w:ind w:firstLineChars="202" w:firstLine="646"/>
        <w:rPr>
          <w:rFonts w:ascii="仿宋_GB2312" w:eastAsia="仿宋_GB2312" w:hAnsi="仿宋" w:cs="仿宋_GB2312"/>
          <w:sz w:val="32"/>
          <w:szCs w:val="32"/>
          <w:shd w:val="pct10" w:color="auto" w:fill="FFFFFF"/>
        </w:rPr>
      </w:pPr>
      <w:r>
        <w:rPr>
          <w:rFonts w:ascii="仿宋" w:eastAsia="仿宋" w:hAnsi="仿宋" w:cs="仿宋" w:hint="eastAsia"/>
          <w:sz w:val="32"/>
          <w:szCs w:val="32"/>
        </w:rPr>
        <w:t>辖内</w:t>
      </w:r>
      <w:r>
        <w:rPr>
          <w:rFonts w:ascii="仿宋_GB2312" w:eastAsia="仿宋_GB2312" w:hAnsi="仿宋" w:cs="仿宋_GB2312" w:hint="eastAsia"/>
          <w:sz w:val="32"/>
          <w:szCs w:val="32"/>
        </w:rPr>
        <w:t>银行直接对外转让不良贷款的转让对价结汇，及清收款项的购付汇，由银行进行真实合</w:t>
      </w:r>
      <w:proofErr w:type="gramStart"/>
      <w:r>
        <w:rPr>
          <w:rFonts w:ascii="仿宋_GB2312" w:eastAsia="仿宋_GB2312" w:hAnsi="仿宋" w:cs="仿宋_GB2312" w:hint="eastAsia"/>
          <w:sz w:val="32"/>
          <w:szCs w:val="32"/>
        </w:rPr>
        <w:t>规</w:t>
      </w:r>
      <w:proofErr w:type="gramEnd"/>
      <w:r>
        <w:rPr>
          <w:rFonts w:ascii="仿宋_GB2312" w:eastAsia="仿宋_GB2312" w:hAnsi="仿宋" w:cs="仿宋_GB2312" w:hint="eastAsia"/>
          <w:sz w:val="32"/>
          <w:szCs w:val="32"/>
        </w:rPr>
        <w:t>性审核后自行办理，并在结售汇统计中报送在“</w:t>
      </w:r>
      <w:r>
        <w:rPr>
          <w:rFonts w:ascii="仿宋_GB2312" w:eastAsia="仿宋_GB2312" w:hAnsi="仿宋" w:cs="仿宋_GB2312" w:hint="eastAsia"/>
          <w:sz w:val="32"/>
          <w:szCs w:val="32"/>
        </w:rPr>
        <w:t>240</w:t>
      </w:r>
      <w:r>
        <w:rPr>
          <w:rFonts w:ascii="仿宋_GB2312" w:eastAsia="仿宋_GB2312" w:hAnsi="仿宋" w:cs="仿宋_GB2312" w:hint="eastAsia"/>
          <w:sz w:val="32"/>
          <w:szCs w:val="32"/>
        </w:rPr>
        <w:t>其他投资”项下，在报送“对外金融资产负债与交易统计”报表时，将对</w:t>
      </w:r>
      <w:r>
        <w:rPr>
          <w:rFonts w:ascii="仿宋_GB2312" w:eastAsia="仿宋_GB2312" w:hAnsi="仿宋" w:cs="仿宋_GB2312" w:hint="eastAsia"/>
          <w:sz w:val="32"/>
          <w:szCs w:val="32"/>
        </w:rPr>
        <w:t>外转让所得资金信息填报在</w:t>
      </w:r>
      <w:r>
        <w:rPr>
          <w:rFonts w:ascii="仿宋_GB2312" w:eastAsia="仿宋_GB2312" w:hAnsi="仿宋" w:cs="仿宋_GB2312" w:hint="eastAsia"/>
          <w:sz w:val="32"/>
          <w:szCs w:val="32"/>
        </w:rPr>
        <w:t>D01</w:t>
      </w:r>
      <w:r>
        <w:rPr>
          <w:rFonts w:ascii="仿宋_GB2312" w:eastAsia="仿宋_GB2312" w:hAnsi="仿宋" w:cs="仿宋_GB2312" w:hint="eastAsia"/>
          <w:sz w:val="32"/>
          <w:szCs w:val="32"/>
        </w:rPr>
        <w:t>表（货币与存款）中，包括存量和流量等各项目。</w:t>
      </w:r>
    </w:p>
    <w:p w:rsidR="00AF477C" w:rsidRDefault="00DF79E7">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代理机构开展</w:t>
      </w:r>
      <w:r>
        <w:rPr>
          <w:rFonts w:ascii="仿宋" w:eastAsia="仿宋" w:hAnsi="仿宋" w:cs="仿宋" w:hint="eastAsia"/>
          <w:sz w:val="32"/>
          <w:szCs w:val="32"/>
        </w:rPr>
        <w:t>辖内</w:t>
      </w:r>
      <w:r>
        <w:rPr>
          <w:rFonts w:ascii="仿宋_GB2312" w:eastAsia="仿宋_GB2312" w:hAnsi="仿宋_GB2312" w:cs="仿宋_GB2312" w:hint="eastAsia"/>
          <w:sz w:val="32"/>
          <w:szCs w:val="32"/>
        </w:rPr>
        <w:t>银行不良贷款对外转让试点业务，应具备交易必备的办公场所、人员等基础设施和相关管理制度等。首次开展试点业务前，</w:t>
      </w:r>
      <w:r>
        <w:rPr>
          <w:rFonts w:ascii="仿宋_GB2312" w:eastAsia="仿宋_GB2312" w:hint="eastAsia"/>
          <w:sz w:val="32"/>
          <w:szCs w:val="32"/>
        </w:rPr>
        <w:t>应向海南省分局</w:t>
      </w:r>
      <w:r>
        <w:rPr>
          <w:rFonts w:ascii="仿宋_GB2312" w:eastAsia="仿宋_GB2312" w:hAnsi="仿宋_GB2312" w:cs="仿宋_GB2312" w:hint="eastAsia"/>
          <w:sz w:val="32"/>
          <w:szCs w:val="32"/>
        </w:rPr>
        <w:t>报备相关证明材料</w:t>
      </w:r>
      <w:r>
        <w:rPr>
          <w:rFonts w:ascii="仿宋_GB2312" w:eastAsia="仿宋_GB2312" w:hint="eastAsia"/>
          <w:sz w:val="32"/>
          <w:szCs w:val="32"/>
        </w:rPr>
        <w:t>，包括但不限于公司章程、内控制度、风险管理制度等。</w:t>
      </w:r>
    </w:p>
    <w:p w:rsidR="00AF477C" w:rsidRDefault="00DF79E7">
      <w:pPr>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int="eastAsia"/>
          <w:sz w:val="32"/>
          <w:szCs w:val="32"/>
        </w:rPr>
        <w:lastRenderedPageBreak/>
        <w:t>代理机构开展试点业务时，应在海南省分局办理逐笔</w:t>
      </w:r>
      <w:r>
        <w:rPr>
          <w:rFonts w:ascii="仿宋_GB2312" w:eastAsia="仿宋_GB2312" w:hAnsi="仿宋" w:cs="仿宋_GB2312" w:hint="eastAsia"/>
          <w:sz w:val="32"/>
          <w:szCs w:val="32"/>
        </w:rPr>
        <w:t>外债登记，并提交以下材料：</w:t>
      </w:r>
    </w:p>
    <w:p w:rsidR="00AF477C" w:rsidRDefault="00DF79E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（一）外债登记申请书；</w:t>
      </w:r>
    </w:p>
    <w:p w:rsidR="00AF477C" w:rsidRDefault="00DF79E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（二）对外转让不良贷款情况及对外转让协议（</w:t>
      </w:r>
      <w:proofErr w:type="gramStart"/>
      <w:r>
        <w:rPr>
          <w:rFonts w:ascii="仿宋_GB2312" w:eastAsia="仿宋_GB2312" w:hint="eastAsia"/>
          <w:sz w:val="32"/>
          <w:szCs w:val="32"/>
        </w:rPr>
        <w:t>含关于</w:t>
      </w:r>
      <w:proofErr w:type="gramEnd"/>
      <w:r>
        <w:rPr>
          <w:rFonts w:ascii="仿宋_GB2312" w:eastAsia="仿宋_GB2312" w:hint="eastAsia"/>
          <w:sz w:val="32"/>
          <w:szCs w:val="32"/>
        </w:rPr>
        <w:t>转让资产合法合</w:t>
      </w:r>
      <w:proofErr w:type="gramStart"/>
      <w:r>
        <w:rPr>
          <w:rFonts w:ascii="仿宋_GB2312" w:eastAsia="仿宋_GB2312" w:hint="eastAsia"/>
          <w:sz w:val="32"/>
          <w:szCs w:val="32"/>
        </w:rPr>
        <w:t>规</w:t>
      </w:r>
      <w:proofErr w:type="gramEnd"/>
      <w:r>
        <w:rPr>
          <w:rFonts w:ascii="仿宋_GB2312" w:eastAsia="仿宋_GB2312" w:hint="eastAsia"/>
          <w:sz w:val="32"/>
          <w:szCs w:val="32"/>
        </w:rPr>
        <w:t>真实的承诺书或相关证明材料、底层贷款和资产担保情况）。</w:t>
      </w:r>
    </w:p>
    <w:p w:rsidR="00AF477C" w:rsidRDefault="00DF79E7">
      <w:pPr>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int="eastAsia"/>
          <w:sz w:val="32"/>
          <w:szCs w:val="32"/>
        </w:rPr>
        <w:t>海</w:t>
      </w:r>
      <w:r>
        <w:rPr>
          <w:rFonts w:ascii="仿宋_GB2312" w:eastAsia="仿宋_GB2312" w:hint="eastAsia"/>
          <w:sz w:val="32"/>
          <w:szCs w:val="32"/>
        </w:rPr>
        <w:t>南省分局为代理机构办理外债</w:t>
      </w:r>
      <w:r>
        <w:rPr>
          <w:rFonts w:ascii="仿宋_GB2312" w:eastAsia="仿宋_GB2312" w:hAnsi="仿宋" w:cs="仿宋_GB2312" w:hint="eastAsia"/>
          <w:sz w:val="32"/>
          <w:szCs w:val="32"/>
        </w:rPr>
        <w:t>登记并出具业务登记凭证，</w:t>
      </w:r>
      <w:r>
        <w:rPr>
          <w:rFonts w:ascii="仿宋_GB2312" w:eastAsia="仿宋_GB2312" w:hint="eastAsia"/>
          <w:sz w:val="32"/>
          <w:szCs w:val="32"/>
        </w:rPr>
        <w:t>登记金额为对外转让的不良贷款账面金额</w:t>
      </w:r>
      <w:r>
        <w:rPr>
          <w:rFonts w:ascii="仿宋_GB2312" w:eastAsia="仿宋_GB2312" w:hAnsi="仿宋" w:cs="仿宋_GB2312" w:hint="eastAsia"/>
          <w:sz w:val="32"/>
          <w:szCs w:val="32"/>
        </w:rPr>
        <w:t>。</w:t>
      </w:r>
    </w:p>
    <w:p w:rsidR="00AF477C" w:rsidRDefault="00DF79E7">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int="eastAsia"/>
          <w:b/>
          <w:sz w:val="32"/>
          <w:szCs w:val="32"/>
        </w:rPr>
        <w:t>第七条</w:t>
      </w:r>
      <w:r>
        <w:rPr>
          <w:rFonts w:ascii="仿宋_GB2312" w:eastAsia="仿宋_GB2312" w:hAnsi="仿宋" w:cs="仿宋_GB2312" w:hint="eastAsia"/>
          <w:sz w:val="32"/>
          <w:szCs w:val="32"/>
        </w:rPr>
        <w:t xml:space="preserve">  </w:t>
      </w:r>
      <w:r>
        <w:rPr>
          <w:rFonts w:ascii="仿宋_GB2312" w:eastAsia="仿宋_GB2312" w:hAnsi="仿宋_GB2312" w:cs="仿宋_GB2312" w:hint="eastAsia"/>
          <w:sz w:val="32"/>
          <w:szCs w:val="32"/>
        </w:rPr>
        <w:t>代理机构</w:t>
      </w:r>
      <w:proofErr w:type="gramStart"/>
      <w:r>
        <w:rPr>
          <w:rFonts w:ascii="仿宋_GB2312" w:eastAsia="仿宋_GB2312" w:hAnsi="仿宋_GB2312" w:cs="仿宋_GB2312" w:hint="eastAsia"/>
          <w:sz w:val="32"/>
          <w:szCs w:val="32"/>
        </w:rPr>
        <w:t>凭业务</w:t>
      </w:r>
      <w:proofErr w:type="gramEnd"/>
      <w:r>
        <w:rPr>
          <w:rFonts w:ascii="仿宋_GB2312" w:eastAsia="仿宋_GB2312" w:hAnsi="仿宋_GB2312" w:cs="仿宋_GB2312" w:hint="eastAsia"/>
          <w:sz w:val="32"/>
          <w:szCs w:val="32"/>
        </w:rPr>
        <w:t>登记凭证直接在银行开立外债专用账户，用于接收保证金（如有）和不良贷款转让对价。</w:t>
      </w:r>
      <w:r>
        <w:rPr>
          <w:rFonts w:ascii="仿宋_GB2312" w:eastAsia="仿宋_GB2312" w:hint="eastAsia"/>
          <w:sz w:val="32"/>
          <w:szCs w:val="32"/>
        </w:rPr>
        <w:t>代理机构收到的转让对价，</w:t>
      </w:r>
      <w:proofErr w:type="gramStart"/>
      <w:r>
        <w:rPr>
          <w:rFonts w:ascii="仿宋_GB2312" w:eastAsia="仿宋_GB2312" w:hint="eastAsia"/>
          <w:sz w:val="32"/>
          <w:szCs w:val="32"/>
        </w:rPr>
        <w:t>可原币或</w:t>
      </w:r>
      <w:proofErr w:type="gramEnd"/>
      <w:r>
        <w:rPr>
          <w:rFonts w:ascii="仿宋_GB2312" w:eastAsia="仿宋_GB2312" w:hint="eastAsia"/>
          <w:sz w:val="32"/>
          <w:szCs w:val="32"/>
        </w:rPr>
        <w:t>意愿结汇后支付给</w:t>
      </w:r>
      <w:r>
        <w:rPr>
          <w:rFonts w:ascii="仿宋" w:eastAsia="仿宋" w:hAnsi="仿宋" w:cs="仿宋" w:hint="eastAsia"/>
          <w:sz w:val="32"/>
          <w:szCs w:val="32"/>
        </w:rPr>
        <w:t>辖内</w:t>
      </w:r>
      <w:r>
        <w:rPr>
          <w:rFonts w:ascii="仿宋_GB2312" w:eastAsia="仿宋_GB2312" w:hint="eastAsia"/>
          <w:sz w:val="32"/>
          <w:szCs w:val="32"/>
        </w:rPr>
        <w:t>不良贷款出让方。</w:t>
      </w:r>
    </w:p>
    <w:p w:rsidR="00AF477C" w:rsidRDefault="00DF79E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信贷资产对外转让交易达成前，保证金不得结汇和使用；对外转让交易未达成的，保证金应原路退回或用于违约扣款，代理机构应及时办理外债注销登记。</w:t>
      </w:r>
    </w:p>
    <w:p w:rsidR="00AF477C" w:rsidRDefault="00DF79E7">
      <w:pPr>
        <w:adjustRightInd w:val="0"/>
        <w:snapToGrid w:val="0"/>
        <w:spacing w:line="560" w:lineRule="exact"/>
        <w:ind w:firstLineChars="200" w:firstLine="643"/>
        <w:rPr>
          <w:rFonts w:ascii="仿宋_GB2312" w:eastAsia="仿宋_GB2312" w:hAnsi="仿宋" w:cs="仿宋_GB2312"/>
          <w:color w:val="000000"/>
          <w:sz w:val="32"/>
          <w:szCs w:val="32"/>
        </w:rPr>
      </w:pPr>
      <w:r>
        <w:rPr>
          <w:rFonts w:ascii="仿宋_GB2312" w:eastAsia="仿宋_GB2312" w:hint="eastAsia"/>
          <w:b/>
          <w:sz w:val="32"/>
          <w:szCs w:val="32"/>
        </w:rPr>
        <w:t>第八条</w:t>
      </w:r>
      <w:r>
        <w:rPr>
          <w:rFonts w:ascii="仿宋_GB2312" w:eastAsia="仿宋_GB2312" w:hint="eastAsia"/>
          <w:sz w:val="32"/>
          <w:szCs w:val="32"/>
        </w:rPr>
        <w:t xml:space="preserve">  </w:t>
      </w:r>
      <w:r>
        <w:rPr>
          <w:rFonts w:ascii="仿宋_GB2312" w:eastAsia="仿宋_GB2312" w:hint="eastAsia"/>
          <w:sz w:val="32"/>
          <w:szCs w:val="32"/>
        </w:rPr>
        <w:t>通过代理机构对外转让的</w:t>
      </w:r>
      <w:r>
        <w:rPr>
          <w:rFonts w:ascii="仿宋" w:eastAsia="仿宋" w:hAnsi="仿宋" w:cs="仿宋" w:hint="eastAsia"/>
          <w:sz w:val="32"/>
          <w:szCs w:val="32"/>
        </w:rPr>
        <w:t>辖内</w:t>
      </w:r>
      <w:r>
        <w:rPr>
          <w:rFonts w:ascii="仿宋_GB2312" w:eastAsia="仿宋_GB2312" w:hint="eastAsia"/>
          <w:sz w:val="32"/>
          <w:szCs w:val="32"/>
        </w:rPr>
        <w:t>银行不良贷款后续清收，应在确保清收款真实合</w:t>
      </w:r>
      <w:proofErr w:type="gramStart"/>
      <w:r>
        <w:rPr>
          <w:rFonts w:ascii="仿宋_GB2312" w:eastAsia="仿宋_GB2312" w:hint="eastAsia"/>
          <w:sz w:val="32"/>
          <w:szCs w:val="32"/>
        </w:rPr>
        <w:t>规</w:t>
      </w:r>
      <w:proofErr w:type="gramEnd"/>
      <w:r>
        <w:rPr>
          <w:rFonts w:ascii="仿宋_GB2312" w:eastAsia="仿宋_GB2312" w:hint="eastAsia"/>
          <w:sz w:val="32"/>
          <w:szCs w:val="32"/>
        </w:rPr>
        <w:t>的前提下，按现行外债管理规定购汇及汇出。清收完成，且清收款全额汇出后，代理机构应关闭外债专用账户，并及时办理外债注销登记。</w:t>
      </w:r>
    </w:p>
    <w:p w:rsidR="00AF477C" w:rsidRDefault="00DF79E7">
      <w:pPr>
        <w:adjustRightInd w:val="0"/>
        <w:snapToGrid w:val="0"/>
        <w:spacing w:line="560" w:lineRule="exact"/>
        <w:ind w:firstLineChars="200" w:firstLine="643"/>
        <w:rPr>
          <w:rFonts w:ascii="仿宋_GB2312" w:eastAsia="仿宋_GB2312"/>
          <w:sz w:val="32"/>
          <w:szCs w:val="32"/>
        </w:rPr>
      </w:pPr>
      <w:r>
        <w:rPr>
          <w:rFonts w:ascii="仿宋_GB2312" w:eastAsia="仿宋_GB2312" w:hAnsi="仿宋_GB2312" w:cs="仿宋_GB2312" w:hint="eastAsia"/>
          <w:b/>
          <w:color w:val="000000"/>
          <w:sz w:val="32"/>
          <w:szCs w:val="32"/>
        </w:rPr>
        <w:t>第九条</w:t>
      </w:r>
      <w:r>
        <w:rPr>
          <w:rFonts w:ascii="仿宋_GB2312" w:eastAsia="仿宋_GB2312" w:hAnsi="仿宋_GB2312" w:cs="仿宋_GB2312" w:hint="eastAsia"/>
          <w:color w:val="000000"/>
          <w:sz w:val="32"/>
          <w:szCs w:val="32"/>
        </w:rPr>
        <w:t xml:space="preserve">  </w:t>
      </w:r>
      <w:r>
        <w:rPr>
          <w:rFonts w:ascii="仿宋_GB2312" w:eastAsia="仿宋_GB2312" w:hint="eastAsia"/>
          <w:sz w:val="32"/>
          <w:szCs w:val="32"/>
        </w:rPr>
        <w:t>海南省分局</w:t>
      </w:r>
      <w:r>
        <w:rPr>
          <w:rFonts w:ascii="仿宋_GB2312" w:eastAsia="仿宋_GB2312" w:hAnsi="仿宋_GB2312" w:cs="仿宋_GB2312" w:hint="eastAsia"/>
          <w:color w:val="000000"/>
          <w:sz w:val="32"/>
          <w:szCs w:val="32"/>
        </w:rPr>
        <w:t>负责对</w:t>
      </w:r>
      <w:r>
        <w:rPr>
          <w:rFonts w:ascii="仿宋" w:eastAsia="仿宋" w:hAnsi="仿宋" w:cs="仿宋" w:hint="eastAsia"/>
          <w:sz w:val="32"/>
          <w:szCs w:val="32"/>
        </w:rPr>
        <w:t>辖内</w:t>
      </w:r>
      <w:r>
        <w:rPr>
          <w:rFonts w:ascii="仿宋_GB2312" w:eastAsia="仿宋_GB2312" w:hAnsi="仿宋" w:cs="仿宋_GB2312" w:hint="eastAsia"/>
          <w:color w:val="000000"/>
          <w:sz w:val="32"/>
          <w:szCs w:val="32"/>
        </w:rPr>
        <w:t>信贷资产跨境转让</w:t>
      </w:r>
      <w:r>
        <w:rPr>
          <w:rFonts w:ascii="仿宋_GB2312" w:eastAsia="仿宋_GB2312" w:hAnsi="仿宋_GB2312" w:cs="仿宋_GB2312" w:hint="eastAsia"/>
          <w:color w:val="000000"/>
          <w:sz w:val="32"/>
          <w:szCs w:val="32"/>
        </w:rPr>
        <w:t>试点业务实施监督管理，跟踪、监测和核查</w:t>
      </w:r>
      <w:r>
        <w:rPr>
          <w:rFonts w:ascii="仿宋_GB2312" w:eastAsia="仿宋_GB2312" w:hAnsi="仿宋" w:cs="仿宋_GB2312" w:hint="eastAsia"/>
          <w:color w:val="000000"/>
          <w:sz w:val="32"/>
          <w:szCs w:val="32"/>
        </w:rPr>
        <w:t>试点业务</w:t>
      </w:r>
      <w:r>
        <w:rPr>
          <w:rFonts w:ascii="仿宋_GB2312" w:eastAsia="仿宋_GB2312" w:hAnsi="仿宋_GB2312" w:cs="仿宋_GB2312" w:hint="eastAsia"/>
          <w:color w:val="000000"/>
          <w:sz w:val="32"/>
          <w:szCs w:val="32"/>
        </w:rPr>
        <w:t>开展情况，依法</w:t>
      </w:r>
      <w:r>
        <w:rPr>
          <w:rFonts w:ascii="仿宋_GB2312" w:eastAsia="仿宋_GB2312" w:hint="eastAsia"/>
          <w:sz w:val="32"/>
          <w:szCs w:val="32"/>
        </w:rPr>
        <w:t>对有违规行为的</w:t>
      </w:r>
      <w:r>
        <w:rPr>
          <w:rFonts w:ascii="仿宋" w:eastAsia="仿宋" w:hAnsi="仿宋" w:cs="仿宋" w:hint="eastAsia"/>
          <w:sz w:val="32"/>
          <w:szCs w:val="32"/>
        </w:rPr>
        <w:t>辖内</w:t>
      </w:r>
      <w:r>
        <w:rPr>
          <w:rFonts w:ascii="仿宋_GB2312" w:eastAsia="仿宋_GB2312" w:hint="eastAsia"/>
          <w:sz w:val="32"/>
          <w:szCs w:val="32"/>
        </w:rPr>
        <w:t>机构采取约谈、下发风险提示函等措施，对于情节严重的机构，海南省分局将暂停或取消其业务。</w:t>
      </w:r>
    </w:p>
    <w:p w:rsidR="00AF477C" w:rsidRDefault="00DF79E7" w:rsidP="00DF79E7">
      <w:pPr>
        <w:pageBreakBefore/>
        <w:spacing w:beforeLines="20" w:before="62" w:line="360" w:lineRule="auto"/>
        <w:jc w:val="left"/>
        <w:rPr>
          <w:rFonts w:ascii="黑体" w:eastAsia="黑体" w:hAnsi="宋体" w:cs="黑体"/>
          <w:bCs/>
          <w:color w:val="000000"/>
          <w:sz w:val="30"/>
          <w:szCs w:val="30"/>
        </w:rPr>
      </w:pPr>
      <w:r>
        <w:rPr>
          <w:rFonts w:ascii="黑体" w:eastAsia="黑体" w:hAnsi="宋体" w:cs="黑体" w:hint="eastAsia"/>
          <w:bCs/>
          <w:color w:val="000000"/>
          <w:sz w:val="30"/>
          <w:szCs w:val="30"/>
        </w:rPr>
        <w:lastRenderedPageBreak/>
        <w:t>附件</w:t>
      </w:r>
      <w:r>
        <w:rPr>
          <w:rFonts w:ascii="黑体" w:eastAsia="黑体" w:hAnsi="宋体" w:cs="黑体" w:hint="eastAsia"/>
          <w:bCs/>
          <w:color w:val="000000"/>
          <w:sz w:val="30"/>
          <w:szCs w:val="30"/>
        </w:rPr>
        <w:t>2-1</w:t>
      </w:r>
    </w:p>
    <w:p w:rsidR="00AF477C" w:rsidRDefault="00DF79E7">
      <w:pPr>
        <w:spacing w:line="360" w:lineRule="auto"/>
        <w:jc w:val="center"/>
        <w:rPr>
          <w:rFonts w:ascii="方正小标宋_GBK" w:eastAsia="方正小标宋_GBK" w:hAnsi="方正小标宋_GBK" w:cs="方正小标宋_GBK"/>
          <w:bCs/>
          <w:spacing w:val="21"/>
          <w:sz w:val="36"/>
          <w:szCs w:val="36"/>
        </w:rPr>
      </w:pPr>
      <w:r>
        <w:rPr>
          <w:rFonts w:ascii="方正小标宋_GBK" w:eastAsia="方正小标宋_GBK" w:hAnsi="方正小标宋_GBK" w:cs="方正小标宋_GBK" w:hint="eastAsia"/>
          <w:bCs/>
          <w:spacing w:val="21"/>
          <w:sz w:val="36"/>
          <w:szCs w:val="36"/>
        </w:rPr>
        <w:t>国家外汇管理局海南省分局</w:t>
      </w:r>
    </w:p>
    <w:p w:rsidR="00AF477C" w:rsidRDefault="00DF79E7">
      <w:pPr>
        <w:spacing w:line="360" w:lineRule="auto"/>
        <w:jc w:val="center"/>
        <w:rPr>
          <w:rFonts w:ascii="方正小标宋_GBK" w:eastAsia="方正小标宋_GBK" w:hAnsi="方正小标宋_GBK" w:cs="方正小标宋_GBK"/>
          <w:bCs/>
          <w:spacing w:val="21"/>
          <w:sz w:val="36"/>
          <w:szCs w:val="36"/>
        </w:rPr>
      </w:pPr>
      <w:r>
        <w:rPr>
          <w:rFonts w:ascii="方正小标宋_GBK" w:eastAsia="方正小标宋_GBK" w:hAnsi="方正小标宋_GBK" w:cs="方正小标宋_GBK" w:hint="eastAsia"/>
          <w:bCs/>
          <w:spacing w:val="21"/>
          <w:sz w:val="36"/>
          <w:szCs w:val="36"/>
        </w:rPr>
        <w:t>资本项目外汇业务备案通知书</w:t>
      </w:r>
    </w:p>
    <w:p w:rsidR="00AF477C" w:rsidRDefault="00AF477C">
      <w:pPr>
        <w:rPr>
          <w:rFonts w:eastAsia="楷体_GB2312"/>
          <w:sz w:val="24"/>
        </w:rPr>
      </w:pPr>
    </w:p>
    <w:p w:rsidR="00AF477C" w:rsidRDefault="00DF79E7">
      <w:pPr>
        <w:rPr>
          <w:rFonts w:eastAsia="楷体_GB2312"/>
          <w:sz w:val="24"/>
        </w:rPr>
      </w:pPr>
      <w:r>
        <w:rPr>
          <w:rFonts w:eastAsia="楷体_GB2312" w:hint="eastAsia"/>
          <w:sz w:val="24"/>
        </w:rPr>
        <w:t>编号：</w:t>
      </w:r>
      <w:r>
        <w:rPr>
          <w:rFonts w:eastAsia="楷体_GB2312" w:hint="eastAsia"/>
          <w:sz w:val="24"/>
        </w:rPr>
        <w:t xml:space="preserve">                             </w:t>
      </w:r>
      <w:r>
        <w:rPr>
          <w:rFonts w:eastAsia="楷体_GB2312" w:hint="eastAsia"/>
          <w:sz w:val="24"/>
        </w:rPr>
        <w:t xml:space="preserve">       </w:t>
      </w:r>
      <w:r>
        <w:rPr>
          <w:rFonts w:eastAsia="楷体_GB2312" w:hint="eastAsia"/>
          <w:sz w:val="24"/>
        </w:rPr>
        <w:t>日期：</w:t>
      </w:r>
      <w:r>
        <w:rPr>
          <w:rFonts w:eastAsia="楷体_GB2312" w:hint="eastAsia"/>
          <w:sz w:val="24"/>
        </w:rPr>
        <w:t xml:space="preserve">   </w:t>
      </w:r>
      <w:r>
        <w:rPr>
          <w:rFonts w:eastAsia="楷体_GB2312" w:hint="eastAsia"/>
          <w:sz w:val="24"/>
        </w:rPr>
        <w:t>年</w:t>
      </w:r>
      <w:r>
        <w:rPr>
          <w:rFonts w:eastAsia="楷体_GB2312" w:hint="eastAsia"/>
          <w:sz w:val="24"/>
        </w:rPr>
        <w:t xml:space="preserve">  </w:t>
      </w:r>
      <w:r>
        <w:rPr>
          <w:rFonts w:eastAsia="楷体_GB2312" w:hint="eastAsia"/>
          <w:sz w:val="24"/>
        </w:rPr>
        <w:t>月</w:t>
      </w:r>
      <w:r>
        <w:rPr>
          <w:rFonts w:eastAsia="楷体_GB2312" w:hint="eastAsia"/>
          <w:sz w:val="24"/>
        </w:rPr>
        <w:t xml:space="preserve">  </w:t>
      </w:r>
      <w:r>
        <w:rPr>
          <w:rFonts w:eastAsia="楷体_GB2312" w:hint="eastAsia"/>
          <w:sz w:val="24"/>
        </w:rPr>
        <w:t>日</w:t>
      </w:r>
    </w:p>
    <w:tbl>
      <w:tblPr>
        <w:tblW w:w="0" w:type="auto"/>
        <w:tblLayout w:type="fixed"/>
        <w:tblLook w:val="04A0" w:firstRow="1" w:lastRow="0" w:firstColumn="1" w:lastColumn="0" w:noHBand="0" w:noVBand="1"/>
      </w:tblPr>
      <w:tblGrid>
        <w:gridCol w:w="1368"/>
        <w:gridCol w:w="2520"/>
        <w:gridCol w:w="1800"/>
        <w:gridCol w:w="795"/>
        <w:gridCol w:w="1422"/>
        <w:gridCol w:w="663"/>
      </w:tblGrid>
      <w:tr w:rsidR="00AF477C">
        <w:trPr>
          <w:cantSplit/>
          <w:trHeight w:val="448"/>
        </w:trPr>
        <w:tc>
          <w:tcPr>
            <w:tcW w:w="1368" w:type="dxa"/>
            <w:tcBorders>
              <w:top w:val="single" w:sz="4" w:space="0" w:color="auto"/>
              <w:left w:val="single" w:sz="4" w:space="0" w:color="auto"/>
              <w:bottom w:val="single" w:sz="4" w:space="0" w:color="auto"/>
              <w:right w:val="single" w:sz="4" w:space="0" w:color="auto"/>
            </w:tcBorders>
          </w:tcPr>
          <w:p w:rsidR="00AF477C" w:rsidRDefault="00DF79E7">
            <w:pPr>
              <w:rPr>
                <w:rFonts w:eastAsia="楷体_GB2312"/>
                <w:sz w:val="28"/>
              </w:rPr>
            </w:pPr>
            <w:r>
              <w:rPr>
                <w:rFonts w:eastAsia="楷体_GB2312" w:hint="eastAsia"/>
                <w:sz w:val="28"/>
              </w:rPr>
              <w:t>来文单位</w:t>
            </w:r>
          </w:p>
        </w:tc>
        <w:tc>
          <w:tcPr>
            <w:tcW w:w="2520" w:type="dxa"/>
            <w:tcBorders>
              <w:top w:val="single" w:sz="4" w:space="0" w:color="auto"/>
              <w:left w:val="nil"/>
              <w:bottom w:val="single" w:sz="4" w:space="0" w:color="auto"/>
              <w:right w:val="single" w:sz="4" w:space="0" w:color="auto"/>
            </w:tcBorders>
          </w:tcPr>
          <w:p w:rsidR="00AF477C" w:rsidRDefault="00AF477C">
            <w:pPr>
              <w:rPr>
                <w:rFonts w:eastAsia="楷体_GB2312"/>
                <w:sz w:val="28"/>
              </w:rPr>
            </w:pPr>
          </w:p>
        </w:tc>
        <w:tc>
          <w:tcPr>
            <w:tcW w:w="1800" w:type="dxa"/>
            <w:tcBorders>
              <w:top w:val="single" w:sz="4" w:space="0" w:color="auto"/>
              <w:left w:val="nil"/>
              <w:bottom w:val="single" w:sz="4" w:space="0" w:color="auto"/>
              <w:right w:val="single" w:sz="4" w:space="0" w:color="auto"/>
            </w:tcBorders>
          </w:tcPr>
          <w:p w:rsidR="00AF477C" w:rsidRDefault="00DF79E7">
            <w:pPr>
              <w:rPr>
                <w:rFonts w:eastAsia="楷体_GB2312"/>
                <w:sz w:val="28"/>
              </w:rPr>
            </w:pPr>
            <w:r>
              <w:rPr>
                <w:rFonts w:eastAsia="楷体_GB2312" w:hint="eastAsia"/>
                <w:sz w:val="28"/>
              </w:rPr>
              <w:t>收文日期</w:t>
            </w:r>
          </w:p>
        </w:tc>
        <w:tc>
          <w:tcPr>
            <w:tcW w:w="2217" w:type="dxa"/>
            <w:gridSpan w:val="2"/>
            <w:tcBorders>
              <w:top w:val="single" w:sz="4" w:space="0" w:color="auto"/>
              <w:left w:val="nil"/>
              <w:bottom w:val="single" w:sz="4" w:space="0" w:color="auto"/>
              <w:right w:val="single" w:sz="4" w:space="0" w:color="auto"/>
            </w:tcBorders>
          </w:tcPr>
          <w:p w:rsidR="00AF477C" w:rsidRDefault="00AF477C">
            <w:pPr>
              <w:rPr>
                <w:rFonts w:eastAsia="楷体_GB2312"/>
                <w:sz w:val="28"/>
              </w:rPr>
            </w:pPr>
          </w:p>
        </w:tc>
        <w:tc>
          <w:tcPr>
            <w:tcW w:w="663" w:type="dxa"/>
            <w:vMerge w:val="restart"/>
            <w:tcBorders>
              <w:left w:val="nil"/>
            </w:tcBorders>
          </w:tcPr>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DF79E7">
            <w:pPr>
              <w:widowControl/>
              <w:jc w:val="left"/>
              <w:rPr>
                <w:rFonts w:eastAsia="楷体_GB2312"/>
                <w:sz w:val="24"/>
              </w:rPr>
            </w:pPr>
            <w:r>
              <w:rPr>
                <w:rFonts w:eastAsia="楷体_GB2312" w:hint="eastAsia"/>
                <w:sz w:val="24"/>
              </w:rPr>
              <w:t>第</w:t>
            </w:r>
          </w:p>
          <w:p w:rsidR="00AF477C" w:rsidRDefault="00DF79E7">
            <w:pPr>
              <w:widowControl/>
              <w:jc w:val="left"/>
              <w:rPr>
                <w:rFonts w:eastAsia="楷体_GB2312"/>
                <w:sz w:val="24"/>
              </w:rPr>
            </w:pPr>
            <w:proofErr w:type="gramStart"/>
            <w:r>
              <w:rPr>
                <w:rFonts w:eastAsia="楷体_GB2312" w:hint="eastAsia"/>
                <w:sz w:val="24"/>
              </w:rPr>
              <w:t>一</w:t>
            </w:r>
            <w:proofErr w:type="gramEnd"/>
            <w:r>
              <w:rPr>
                <w:rFonts w:eastAsia="楷体_GB2312" w:hint="eastAsia"/>
                <w:sz w:val="24"/>
              </w:rPr>
              <w:t>联</w:t>
            </w: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DF79E7">
            <w:pPr>
              <w:widowControl/>
              <w:jc w:val="left"/>
              <w:rPr>
                <w:rFonts w:eastAsia="楷体_GB2312"/>
                <w:sz w:val="28"/>
              </w:rPr>
            </w:pPr>
            <w:r>
              <w:rPr>
                <w:rFonts w:eastAsia="楷体_GB2312" w:hint="eastAsia"/>
                <w:sz w:val="24"/>
              </w:rPr>
              <w:t>资本项目处留存</w:t>
            </w:r>
          </w:p>
        </w:tc>
      </w:tr>
      <w:tr w:rsidR="00AF477C">
        <w:trPr>
          <w:cantSplit/>
          <w:trHeight w:val="435"/>
        </w:trPr>
        <w:tc>
          <w:tcPr>
            <w:tcW w:w="1368" w:type="dxa"/>
            <w:tcBorders>
              <w:top w:val="single" w:sz="4" w:space="0" w:color="auto"/>
              <w:left w:val="single" w:sz="4" w:space="0" w:color="auto"/>
              <w:bottom w:val="single" w:sz="4" w:space="0" w:color="auto"/>
              <w:right w:val="single" w:sz="4" w:space="0" w:color="auto"/>
            </w:tcBorders>
          </w:tcPr>
          <w:p w:rsidR="00AF477C" w:rsidRDefault="00AF477C">
            <w:pPr>
              <w:rPr>
                <w:rFonts w:eastAsia="楷体_GB2312"/>
                <w:sz w:val="28"/>
              </w:rPr>
            </w:pPr>
          </w:p>
          <w:p w:rsidR="00AF477C" w:rsidRDefault="00DF79E7">
            <w:pPr>
              <w:rPr>
                <w:rFonts w:eastAsia="楷体_GB2312"/>
                <w:sz w:val="28"/>
              </w:rPr>
            </w:pPr>
            <w:r>
              <w:rPr>
                <w:rFonts w:eastAsia="楷体_GB2312" w:hint="eastAsia"/>
                <w:sz w:val="28"/>
              </w:rPr>
              <w:t>文件名称</w:t>
            </w:r>
          </w:p>
          <w:p w:rsidR="00AF477C" w:rsidRDefault="00AF477C">
            <w:pPr>
              <w:rPr>
                <w:rFonts w:eastAsia="楷体_GB2312"/>
                <w:sz w:val="28"/>
              </w:rPr>
            </w:pPr>
          </w:p>
        </w:tc>
        <w:tc>
          <w:tcPr>
            <w:tcW w:w="4320" w:type="dxa"/>
            <w:gridSpan w:val="2"/>
            <w:tcBorders>
              <w:top w:val="single" w:sz="4" w:space="0" w:color="auto"/>
              <w:left w:val="nil"/>
              <w:bottom w:val="single" w:sz="4" w:space="0" w:color="auto"/>
              <w:right w:val="single" w:sz="4" w:space="0" w:color="auto"/>
            </w:tcBorders>
          </w:tcPr>
          <w:p w:rsidR="00AF477C" w:rsidRDefault="00AF477C">
            <w:pPr>
              <w:rPr>
                <w:rFonts w:eastAsia="楷体_GB2312"/>
                <w:sz w:val="28"/>
              </w:rPr>
            </w:pPr>
          </w:p>
          <w:p w:rsidR="00AF477C" w:rsidRDefault="00AF477C">
            <w:pPr>
              <w:rPr>
                <w:rFonts w:eastAsia="楷体_GB2312"/>
                <w:sz w:val="28"/>
              </w:rPr>
            </w:pPr>
          </w:p>
        </w:tc>
        <w:tc>
          <w:tcPr>
            <w:tcW w:w="795" w:type="dxa"/>
            <w:tcBorders>
              <w:top w:val="single" w:sz="4" w:space="0" w:color="auto"/>
              <w:left w:val="nil"/>
              <w:bottom w:val="single" w:sz="4" w:space="0" w:color="auto"/>
              <w:right w:val="single" w:sz="4" w:space="0" w:color="auto"/>
            </w:tcBorders>
          </w:tcPr>
          <w:p w:rsidR="00AF477C" w:rsidRDefault="00AF477C">
            <w:pPr>
              <w:widowControl/>
              <w:jc w:val="left"/>
              <w:rPr>
                <w:rFonts w:eastAsia="楷体_GB2312"/>
                <w:sz w:val="28"/>
              </w:rPr>
            </w:pPr>
          </w:p>
          <w:p w:rsidR="00AF477C" w:rsidRDefault="00DF79E7">
            <w:pPr>
              <w:widowControl/>
              <w:jc w:val="left"/>
              <w:rPr>
                <w:rFonts w:eastAsia="楷体_GB2312"/>
                <w:sz w:val="28"/>
              </w:rPr>
            </w:pPr>
            <w:r>
              <w:rPr>
                <w:rFonts w:eastAsia="楷体_GB2312" w:hint="eastAsia"/>
                <w:sz w:val="28"/>
              </w:rPr>
              <w:t>文号</w:t>
            </w:r>
          </w:p>
          <w:p w:rsidR="00AF477C" w:rsidRDefault="00AF477C">
            <w:pPr>
              <w:rPr>
                <w:rFonts w:eastAsia="楷体_GB2312"/>
                <w:sz w:val="28"/>
              </w:rPr>
            </w:pPr>
          </w:p>
        </w:tc>
        <w:tc>
          <w:tcPr>
            <w:tcW w:w="1422" w:type="dxa"/>
            <w:tcBorders>
              <w:top w:val="single" w:sz="4" w:space="0" w:color="auto"/>
              <w:left w:val="nil"/>
              <w:bottom w:val="single" w:sz="4" w:space="0" w:color="auto"/>
              <w:right w:val="single" w:sz="4" w:space="0" w:color="auto"/>
            </w:tcBorders>
          </w:tcPr>
          <w:p w:rsidR="00AF477C" w:rsidRDefault="00AF477C">
            <w:pPr>
              <w:widowControl/>
              <w:jc w:val="left"/>
              <w:rPr>
                <w:rFonts w:eastAsia="楷体_GB2312"/>
                <w:sz w:val="28"/>
              </w:rPr>
            </w:pPr>
          </w:p>
          <w:p w:rsidR="00AF477C" w:rsidRDefault="00AF477C">
            <w:pPr>
              <w:rPr>
                <w:rFonts w:eastAsia="楷体_GB2312"/>
                <w:sz w:val="28"/>
              </w:rPr>
            </w:pPr>
          </w:p>
        </w:tc>
        <w:tc>
          <w:tcPr>
            <w:tcW w:w="663" w:type="dxa"/>
            <w:vMerge/>
            <w:tcBorders>
              <w:left w:val="nil"/>
            </w:tcBorders>
          </w:tcPr>
          <w:p w:rsidR="00AF477C" w:rsidRDefault="00AF477C">
            <w:pPr>
              <w:widowControl/>
              <w:jc w:val="left"/>
              <w:rPr>
                <w:rFonts w:eastAsia="楷体_GB2312"/>
                <w:sz w:val="28"/>
              </w:rPr>
            </w:pPr>
          </w:p>
        </w:tc>
      </w:tr>
      <w:tr w:rsidR="00AF477C">
        <w:trPr>
          <w:cantSplit/>
          <w:trHeight w:val="1814"/>
        </w:trPr>
        <w:tc>
          <w:tcPr>
            <w:tcW w:w="1368" w:type="dxa"/>
            <w:tcBorders>
              <w:top w:val="single" w:sz="4" w:space="0" w:color="auto"/>
              <w:left w:val="single" w:sz="4" w:space="0" w:color="auto"/>
              <w:bottom w:val="single" w:sz="4" w:space="0" w:color="auto"/>
              <w:right w:val="single" w:sz="4" w:space="0" w:color="auto"/>
            </w:tcBorders>
            <w:vAlign w:val="center"/>
          </w:tcPr>
          <w:p w:rsidR="00AF477C" w:rsidRDefault="00DF79E7">
            <w:pPr>
              <w:rPr>
                <w:rFonts w:eastAsia="楷体_GB2312"/>
                <w:sz w:val="28"/>
              </w:rPr>
            </w:pPr>
            <w:r>
              <w:rPr>
                <w:rFonts w:eastAsia="楷体_GB2312" w:hint="eastAsia"/>
                <w:sz w:val="28"/>
              </w:rPr>
              <w:t>申请备案的事项</w:t>
            </w:r>
          </w:p>
        </w:tc>
        <w:tc>
          <w:tcPr>
            <w:tcW w:w="6537" w:type="dxa"/>
            <w:gridSpan w:val="4"/>
            <w:tcBorders>
              <w:top w:val="single" w:sz="4" w:space="0" w:color="auto"/>
              <w:left w:val="nil"/>
              <w:bottom w:val="single" w:sz="4" w:space="0" w:color="auto"/>
              <w:right w:val="single" w:sz="4" w:space="0" w:color="auto"/>
            </w:tcBorders>
          </w:tcPr>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tc>
        <w:tc>
          <w:tcPr>
            <w:tcW w:w="663" w:type="dxa"/>
            <w:vMerge/>
            <w:tcBorders>
              <w:left w:val="nil"/>
            </w:tcBorders>
          </w:tcPr>
          <w:p w:rsidR="00AF477C" w:rsidRDefault="00AF477C">
            <w:pPr>
              <w:widowControl/>
              <w:jc w:val="left"/>
              <w:rPr>
                <w:rFonts w:eastAsia="楷体_GB2312"/>
                <w:sz w:val="28"/>
              </w:rPr>
            </w:pPr>
          </w:p>
        </w:tc>
      </w:tr>
      <w:tr w:rsidR="00AF477C">
        <w:trPr>
          <w:cantSplit/>
          <w:trHeight w:val="5228"/>
        </w:trPr>
        <w:tc>
          <w:tcPr>
            <w:tcW w:w="1368" w:type="dxa"/>
            <w:tcBorders>
              <w:top w:val="single" w:sz="4" w:space="0" w:color="auto"/>
              <w:left w:val="single" w:sz="4" w:space="0" w:color="auto"/>
              <w:bottom w:val="single" w:sz="4" w:space="0" w:color="auto"/>
              <w:right w:val="single" w:sz="4" w:space="0" w:color="auto"/>
            </w:tcBorders>
          </w:tcPr>
          <w:p w:rsidR="00AF477C" w:rsidRDefault="00AF477C">
            <w:pPr>
              <w:rPr>
                <w:rFonts w:eastAsia="楷体_GB2312"/>
                <w:sz w:val="28"/>
              </w:rPr>
            </w:pPr>
          </w:p>
          <w:p w:rsidR="00AF477C" w:rsidRDefault="00AF477C" w:rsidP="00DF79E7">
            <w:pPr>
              <w:ind w:left="140" w:hangingChars="50" w:hanging="140"/>
              <w:rPr>
                <w:rFonts w:eastAsia="楷体_GB2312"/>
                <w:sz w:val="28"/>
              </w:rPr>
            </w:pPr>
          </w:p>
          <w:p w:rsidR="00AF477C" w:rsidRDefault="00AF477C" w:rsidP="00DF79E7">
            <w:pPr>
              <w:ind w:left="140" w:hangingChars="50" w:hanging="140"/>
              <w:rPr>
                <w:rFonts w:eastAsia="楷体_GB2312"/>
                <w:sz w:val="28"/>
              </w:rPr>
            </w:pPr>
          </w:p>
          <w:p w:rsidR="00AF477C" w:rsidRDefault="00DF79E7">
            <w:pPr>
              <w:rPr>
                <w:rFonts w:eastAsia="楷体_GB2312"/>
                <w:sz w:val="28"/>
              </w:rPr>
            </w:pPr>
            <w:r>
              <w:rPr>
                <w:rFonts w:eastAsia="楷体_GB2312" w:hint="eastAsia"/>
                <w:sz w:val="28"/>
              </w:rPr>
              <w:t>备案意见</w:t>
            </w:r>
          </w:p>
        </w:tc>
        <w:tc>
          <w:tcPr>
            <w:tcW w:w="6537" w:type="dxa"/>
            <w:gridSpan w:val="4"/>
            <w:tcBorders>
              <w:top w:val="single" w:sz="4" w:space="0" w:color="auto"/>
              <w:left w:val="nil"/>
              <w:bottom w:val="single" w:sz="4" w:space="0" w:color="auto"/>
              <w:right w:val="single" w:sz="4" w:space="0" w:color="auto"/>
            </w:tcBorders>
          </w:tcPr>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tc>
        <w:tc>
          <w:tcPr>
            <w:tcW w:w="663" w:type="dxa"/>
            <w:vMerge/>
            <w:tcBorders>
              <w:left w:val="nil"/>
            </w:tcBorders>
          </w:tcPr>
          <w:p w:rsidR="00AF477C" w:rsidRDefault="00AF477C">
            <w:pPr>
              <w:widowControl/>
              <w:jc w:val="left"/>
              <w:rPr>
                <w:rFonts w:eastAsia="楷体_GB2312"/>
                <w:sz w:val="28"/>
              </w:rPr>
            </w:pPr>
          </w:p>
        </w:tc>
      </w:tr>
      <w:tr w:rsidR="00AF477C">
        <w:trPr>
          <w:cantSplit/>
          <w:trHeight w:val="640"/>
        </w:trPr>
        <w:tc>
          <w:tcPr>
            <w:tcW w:w="7905" w:type="dxa"/>
            <w:gridSpan w:val="5"/>
            <w:tcBorders>
              <w:top w:val="single" w:sz="4" w:space="0" w:color="auto"/>
              <w:left w:val="single" w:sz="4" w:space="0" w:color="auto"/>
              <w:bottom w:val="single" w:sz="4" w:space="0" w:color="auto"/>
              <w:right w:val="single" w:sz="4" w:space="0" w:color="auto"/>
            </w:tcBorders>
          </w:tcPr>
          <w:p w:rsidR="00AF477C" w:rsidRDefault="00DF79E7">
            <w:pPr>
              <w:rPr>
                <w:rFonts w:eastAsia="楷体_GB2312"/>
                <w:sz w:val="28"/>
              </w:rPr>
            </w:pPr>
            <w:r>
              <w:rPr>
                <w:rFonts w:eastAsia="楷体_GB2312" w:hint="eastAsia"/>
                <w:sz w:val="28"/>
              </w:rPr>
              <w:t>经办人：</w:t>
            </w:r>
            <w:r>
              <w:rPr>
                <w:rFonts w:eastAsia="楷体_GB2312" w:hint="eastAsia"/>
                <w:sz w:val="28"/>
              </w:rPr>
              <w:t xml:space="preserve">            </w:t>
            </w:r>
            <w:r>
              <w:rPr>
                <w:rFonts w:eastAsia="楷体_GB2312" w:hint="eastAsia"/>
                <w:sz w:val="28"/>
              </w:rPr>
              <w:t>电话：</w:t>
            </w:r>
            <w:r>
              <w:rPr>
                <w:rFonts w:eastAsia="楷体_GB2312" w:hint="eastAsia"/>
                <w:sz w:val="28"/>
              </w:rPr>
              <w:t xml:space="preserve">          </w:t>
            </w:r>
            <w:r>
              <w:rPr>
                <w:rFonts w:eastAsia="楷体_GB2312" w:hint="eastAsia"/>
                <w:sz w:val="28"/>
              </w:rPr>
              <w:t>复核人：</w:t>
            </w:r>
          </w:p>
        </w:tc>
        <w:tc>
          <w:tcPr>
            <w:tcW w:w="663" w:type="dxa"/>
            <w:vMerge/>
            <w:tcBorders>
              <w:left w:val="nil"/>
            </w:tcBorders>
          </w:tcPr>
          <w:p w:rsidR="00AF477C" w:rsidRDefault="00AF477C">
            <w:pPr>
              <w:widowControl/>
              <w:jc w:val="left"/>
              <w:rPr>
                <w:rFonts w:eastAsia="楷体_GB2312"/>
                <w:sz w:val="28"/>
              </w:rPr>
            </w:pPr>
          </w:p>
        </w:tc>
      </w:tr>
    </w:tbl>
    <w:p w:rsidR="00AF477C" w:rsidRDefault="00DF79E7">
      <w:pPr>
        <w:spacing w:line="360" w:lineRule="auto"/>
        <w:jc w:val="center"/>
        <w:rPr>
          <w:rFonts w:ascii="方正小标宋_GBK" w:eastAsia="方正小标宋_GBK" w:hAnsi="方正小标宋_GBK" w:cs="方正小标宋_GBK"/>
          <w:bCs/>
          <w:spacing w:val="21"/>
          <w:sz w:val="36"/>
          <w:szCs w:val="36"/>
        </w:rPr>
      </w:pPr>
      <w:r>
        <w:rPr>
          <w:rFonts w:ascii="宋体" w:hAnsi="宋体" w:cs="宋体"/>
          <w:b/>
          <w:spacing w:val="21"/>
          <w:sz w:val="24"/>
          <w:szCs w:val="21"/>
        </w:rPr>
        <w:br w:type="page"/>
      </w:r>
      <w:r>
        <w:rPr>
          <w:rFonts w:ascii="方正小标宋_GBK" w:eastAsia="方正小标宋_GBK" w:hAnsi="方正小标宋_GBK" w:cs="方正小标宋_GBK" w:hint="eastAsia"/>
          <w:bCs/>
          <w:spacing w:val="21"/>
          <w:sz w:val="36"/>
          <w:szCs w:val="36"/>
        </w:rPr>
        <w:lastRenderedPageBreak/>
        <w:t>国家外汇管理局海南省分局</w:t>
      </w:r>
    </w:p>
    <w:p w:rsidR="00AF477C" w:rsidRDefault="00DF79E7">
      <w:pPr>
        <w:spacing w:line="360" w:lineRule="auto"/>
        <w:jc w:val="center"/>
        <w:rPr>
          <w:rFonts w:ascii="方正小标宋_GBK" w:eastAsia="方正小标宋_GBK" w:hAnsi="方正小标宋_GBK" w:cs="方正小标宋_GBK"/>
          <w:bCs/>
          <w:spacing w:val="21"/>
          <w:sz w:val="36"/>
          <w:szCs w:val="36"/>
        </w:rPr>
      </w:pPr>
      <w:r>
        <w:rPr>
          <w:rFonts w:ascii="方正小标宋_GBK" w:eastAsia="方正小标宋_GBK" w:hAnsi="方正小标宋_GBK" w:cs="方正小标宋_GBK" w:hint="eastAsia"/>
          <w:bCs/>
          <w:spacing w:val="21"/>
          <w:sz w:val="36"/>
          <w:szCs w:val="36"/>
        </w:rPr>
        <w:t>资本项目外汇业务备案通知书</w:t>
      </w:r>
    </w:p>
    <w:p w:rsidR="00AF477C" w:rsidRDefault="00AF477C">
      <w:pPr>
        <w:rPr>
          <w:rFonts w:eastAsia="楷体_GB2312"/>
          <w:sz w:val="24"/>
        </w:rPr>
      </w:pPr>
    </w:p>
    <w:p w:rsidR="00AF477C" w:rsidRDefault="00DF79E7">
      <w:pPr>
        <w:rPr>
          <w:rFonts w:eastAsia="楷体_GB2312"/>
          <w:sz w:val="24"/>
        </w:rPr>
      </w:pPr>
      <w:r>
        <w:rPr>
          <w:rFonts w:eastAsia="楷体_GB2312" w:hint="eastAsia"/>
          <w:sz w:val="24"/>
        </w:rPr>
        <w:t>编号：</w:t>
      </w:r>
      <w:r>
        <w:rPr>
          <w:rFonts w:eastAsia="楷体_GB2312" w:hint="eastAsia"/>
          <w:sz w:val="24"/>
        </w:rPr>
        <w:t xml:space="preserve">                                    </w:t>
      </w:r>
      <w:r>
        <w:rPr>
          <w:rFonts w:eastAsia="楷体_GB2312" w:hint="eastAsia"/>
          <w:sz w:val="24"/>
        </w:rPr>
        <w:t>日期：</w:t>
      </w:r>
      <w:r>
        <w:rPr>
          <w:rFonts w:eastAsia="楷体_GB2312" w:hint="eastAsia"/>
          <w:sz w:val="24"/>
        </w:rPr>
        <w:t xml:space="preserve">   </w:t>
      </w:r>
      <w:r>
        <w:rPr>
          <w:rFonts w:eastAsia="楷体_GB2312" w:hint="eastAsia"/>
          <w:sz w:val="24"/>
        </w:rPr>
        <w:t>年</w:t>
      </w:r>
      <w:r>
        <w:rPr>
          <w:rFonts w:eastAsia="楷体_GB2312" w:hint="eastAsia"/>
          <w:sz w:val="24"/>
        </w:rPr>
        <w:t xml:space="preserve">  </w:t>
      </w:r>
      <w:r>
        <w:rPr>
          <w:rFonts w:eastAsia="楷体_GB2312" w:hint="eastAsia"/>
          <w:sz w:val="24"/>
        </w:rPr>
        <w:t>月</w:t>
      </w:r>
      <w:r>
        <w:rPr>
          <w:rFonts w:eastAsia="楷体_GB2312" w:hint="eastAsia"/>
          <w:sz w:val="24"/>
        </w:rPr>
        <w:t xml:space="preserve">  </w:t>
      </w:r>
      <w:r>
        <w:rPr>
          <w:rFonts w:eastAsia="楷体_GB2312" w:hint="eastAsia"/>
          <w:sz w:val="24"/>
        </w:rPr>
        <w:t>日</w:t>
      </w:r>
    </w:p>
    <w:tbl>
      <w:tblPr>
        <w:tblW w:w="0" w:type="auto"/>
        <w:tblLayout w:type="fixed"/>
        <w:tblLook w:val="04A0" w:firstRow="1" w:lastRow="0" w:firstColumn="1" w:lastColumn="0" w:noHBand="0" w:noVBand="1"/>
      </w:tblPr>
      <w:tblGrid>
        <w:gridCol w:w="1368"/>
        <w:gridCol w:w="2520"/>
        <w:gridCol w:w="1800"/>
        <w:gridCol w:w="795"/>
        <w:gridCol w:w="1422"/>
        <w:gridCol w:w="663"/>
      </w:tblGrid>
      <w:tr w:rsidR="00AF477C">
        <w:trPr>
          <w:cantSplit/>
          <w:trHeight w:val="448"/>
        </w:trPr>
        <w:tc>
          <w:tcPr>
            <w:tcW w:w="1368" w:type="dxa"/>
            <w:tcBorders>
              <w:top w:val="single" w:sz="4" w:space="0" w:color="auto"/>
              <w:left w:val="single" w:sz="4" w:space="0" w:color="auto"/>
              <w:bottom w:val="single" w:sz="4" w:space="0" w:color="auto"/>
              <w:right w:val="single" w:sz="4" w:space="0" w:color="auto"/>
            </w:tcBorders>
          </w:tcPr>
          <w:p w:rsidR="00AF477C" w:rsidRDefault="00DF79E7">
            <w:pPr>
              <w:rPr>
                <w:rFonts w:eastAsia="楷体_GB2312"/>
                <w:sz w:val="28"/>
              </w:rPr>
            </w:pPr>
            <w:r>
              <w:rPr>
                <w:rFonts w:eastAsia="楷体_GB2312" w:hint="eastAsia"/>
                <w:sz w:val="28"/>
              </w:rPr>
              <w:t>来文单位</w:t>
            </w:r>
          </w:p>
        </w:tc>
        <w:tc>
          <w:tcPr>
            <w:tcW w:w="2520" w:type="dxa"/>
            <w:tcBorders>
              <w:top w:val="single" w:sz="4" w:space="0" w:color="auto"/>
              <w:left w:val="nil"/>
              <w:bottom w:val="single" w:sz="4" w:space="0" w:color="auto"/>
              <w:right w:val="single" w:sz="4" w:space="0" w:color="auto"/>
            </w:tcBorders>
          </w:tcPr>
          <w:p w:rsidR="00AF477C" w:rsidRDefault="00AF477C">
            <w:pPr>
              <w:rPr>
                <w:rFonts w:eastAsia="楷体_GB2312"/>
                <w:sz w:val="28"/>
              </w:rPr>
            </w:pPr>
          </w:p>
        </w:tc>
        <w:tc>
          <w:tcPr>
            <w:tcW w:w="1800" w:type="dxa"/>
            <w:tcBorders>
              <w:top w:val="single" w:sz="4" w:space="0" w:color="auto"/>
              <w:left w:val="nil"/>
              <w:bottom w:val="single" w:sz="4" w:space="0" w:color="auto"/>
              <w:right w:val="single" w:sz="4" w:space="0" w:color="auto"/>
            </w:tcBorders>
          </w:tcPr>
          <w:p w:rsidR="00AF477C" w:rsidRDefault="00DF79E7">
            <w:pPr>
              <w:rPr>
                <w:rFonts w:eastAsia="楷体_GB2312"/>
                <w:sz w:val="28"/>
              </w:rPr>
            </w:pPr>
            <w:r>
              <w:rPr>
                <w:rFonts w:eastAsia="楷体_GB2312" w:hint="eastAsia"/>
                <w:sz w:val="28"/>
              </w:rPr>
              <w:t>收文日期</w:t>
            </w:r>
          </w:p>
        </w:tc>
        <w:tc>
          <w:tcPr>
            <w:tcW w:w="2217" w:type="dxa"/>
            <w:gridSpan w:val="2"/>
            <w:tcBorders>
              <w:top w:val="single" w:sz="4" w:space="0" w:color="auto"/>
              <w:left w:val="nil"/>
              <w:bottom w:val="single" w:sz="4" w:space="0" w:color="auto"/>
              <w:right w:val="single" w:sz="4" w:space="0" w:color="auto"/>
            </w:tcBorders>
          </w:tcPr>
          <w:p w:rsidR="00AF477C" w:rsidRDefault="00AF477C">
            <w:pPr>
              <w:rPr>
                <w:rFonts w:eastAsia="楷体_GB2312"/>
                <w:sz w:val="28"/>
              </w:rPr>
            </w:pPr>
          </w:p>
        </w:tc>
        <w:tc>
          <w:tcPr>
            <w:tcW w:w="663" w:type="dxa"/>
            <w:vMerge w:val="restart"/>
            <w:tcBorders>
              <w:left w:val="nil"/>
            </w:tcBorders>
          </w:tcPr>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DF79E7">
            <w:pPr>
              <w:widowControl/>
              <w:jc w:val="left"/>
              <w:rPr>
                <w:rFonts w:eastAsia="楷体_GB2312"/>
                <w:sz w:val="24"/>
              </w:rPr>
            </w:pPr>
            <w:r>
              <w:rPr>
                <w:rFonts w:eastAsia="楷体_GB2312" w:hint="eastAsia"/>
                <w:sz w:val="24"/>
              </w:rPr>
              <w:t>第</w:t>
            </w:r>
          </w:p>
          <w:p w:rsidR="00AF477C" w:rsidRDefault="00DF79E7">
            <w:pPr>
              <w:widowControl/>
              <w:jc w:val="left"/>
              <w:rPr>
                <w:rFonts w:eastAsia="楷体_GB2312"/>
                <w:sz w:val="24"/>
              </w:rPr>
            </w:pPr>
            <w:r>
              <w:rPr>
                <w:rFonts w:eastAsia="楷体_GB2312" w:hint="eastAsia"/>
                <w:sz w:val="24"/>
              </w:rPr>
              <w:t>二联</w:t>
            </w: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AF477C">
            <w:pPr>
              <w:widowControl/>
              <w:jc w:val="left"/>
              <w:rPr>
                <w:rFonts w:eastAsia="楷体_GB2312"/>
                <w:sz w:val="24"/>
              </w:rPr>
            </w:pPr>
          </w:p>
          <w:p w:rsidR="00AF477C" w:rsidRDefault="00DF79E7">
            <w:pPr>
              <w:widowControl/>
              <w:jc w:val="left"/>
              <w:rPr>
                <w:rFonts w:eastAsia="楷体_GB2312"/>
                <w:sz w:val="28"/>
              </w:rPr>
            </w:pPr>
            <w:r>
              <w:rPr>
                <w:rFonts w:eastAsia="楷体_GB2312" w:hint="eastAsia"/>
                <w:sz w:val="24"/>
              </w:rPr>
              <w:t>发送申请单位</w:t>
            </w:r>
          </w:p>
        </w:tc>
      </w:tr>
      <w:tr w:rsidR="00AF477C">
        <w:trPr>
          <w:cantSplit/>
          <w:trHeight w:val="435"/>
        </w:trPr>
        <w:tc>
          <w:tcPr>
            <w:tcW w:w="1368" w:type="dxa"/>
            <w:tcBorders>
              <w:top w:val="single" w:sz="4" w:space="0" w:color="auto"/>
              <w:left w:val="single" w:sz="4" w:space="0" w:color="auto"/>
              <w:bottom w:val="single" w:sz="4" w:space="0" w:color="auto"/>
              <w:right w:val="single" w:sz="4" w:space="0" w:color="auto"/>
            </w:tcBorders>
          </w:tcPr>
          <w:p w:rsidR="00AF477C" w:rsidRDefault="00AF477C">
            <w:pPr>
              <w:rPr>
                <w:rFonts w:eastAsia="楷体_GB2312"/>
                <w:sz w:val="28"/>
              </w:rPr>
            </w:pPr>
          </w:p>
          <w:p w:rsidR="00AF477C" w:rsidRDefault="00DF79E7">
            <w:pPr>
              <w:rPr>
                <w:rFonts w:eastAsia="楷体_GB2312"/>
                <w:sz w:val="28"/>
              </w:rPr>
            </w:pPr>
            <w:r>
              <w:rPr>
                <w:rFonts w:eastAsia="楷体_GB2312" w:hint="eastAsia"/>
                <w:sz w:val="28"/>
              </w:rPr>
              <w:t>文件名称</w:t>
            </w:r>
          </w:p>
          <w:p w:rsidR="00AF477C" w:rsidRDefault="00AF477C">
            <w:pPr>
              <w:rPr>
                <w:rFonts w:eastAsia="楷体_GB2312"/>
                <w:sz w:val="28"/>
              </w:rPr>
            </w:pPr>
          </w:p>
        </w:tc>
        <w:tc>
          <w:tcPr>
            <w:tcW w:w="4320" w:type="dxa"/>
            <w:gridSpan w:val="2"/>
            <w:tcBorders>
              <w:top w:val="single" w:sz="4" w:space="0" w:color="auto"/>
              <w:left w:val="nil"/>
              <w:bottom w:val="single" w:sz="4" w:space="0" w:color="auto"/>
              <w:right w:val="single" w:sz="4" w:space="0" w:color="auto"/>
            </w:tcBorders>
          </w:tcPr>
          <w:p w:rsidR="00AF477C" w:rsidRDefault="00AF477C">
            <w:pPr>
              <w:rPr>
                <w:rFonts w:eastAsia="楷体_GB2312"/>
                <w:sz w:val="28"/>
              </w:rPr>
            </w:pPr>
          </w:p>
          <w:p w:rsidR="00AF477C" w:rsidRDefault="00AF477C">
            <w:pPr>
              <w:rPr>
                <w:rFonts w:eastAsia="楷体_GB2312"/>
                <w:sz w:val="28"/>
              </w:rPr>
            </w:pPr>
          </w:p>
        </w:tc>
        <w:tc>
          <w:tcPr>
            <w:tcW w:w="795" w:type="dxa"/>
            <w:tcBorders>
              <w:top w:val="single" w:sz="4" w:space="0" w:color="auto"/>
              <w:left w:val="nil"/>
              <w:bottom w:val="single" w:sz="4" w:space="0" w:color="auto"/>
              <w:right w:val="single" w:sz="4" w:space="0" w:color="auto"/>
            </w:tcBorders>
          </w:tcPr>
          <w:p w:rsidR="00AF477C" w:rsidRDefault="00AF477C">
            <w:pPr>
              <w:widowControl/>
              <w:jc w:val="left"/>
              <w:rPr>
                <w:rFonts w:eastAsia="楷体_GB2312"/>
                <w:sz w:val="28"/>
              </w:rPr>
            </w:pPr>
          </w:p>
          <w:p w:rsidR="00AF477C" w:rsidRDefault="00DF79E7">
            <w:pPr>
              <w:widowControl/>
              <w:jc w:val="left"/>
              <w:rPr>
                <w:rFonts w:eastAsia="楷体_GB2312"/>
                <w:sz w:val="28"/>
              </w:rPr>
            </w:pPr>
            <w:r>
              <w:rPr>
                <w:rFonts w:eastAsia="楷体_GB2312" w:hint="eastAsia"/>
                <w:sz w:val="28"/>
              </w:rPr>
              <w:t>文号</w:t>
            </w:r>
          </w:p>
          <w:p w:rsidR="00AF477C" w:rsidRDefault="00AF477C">
            <w:pPr>
              <w:rPr>
                <w:rFonts w:eastAsia="楷体_GB2312"/>
                <w:sz w:val="28"/>
              </w:rPr>
            </w:pPr>
          </w:p>
        </w:tc>
        <w:tc>
          <w:tcPr>
            <w:tcW w:w="1422" w:type="dxa"/>
            <w:tcBorders>
              <w:top w:val="single" w:sz="4" w:space="0" w:color="auto"/>
              <w:left w:val="nil"/>
              <w:bottom w:val="single" w:sz="4" w:space="0" w:color="auto"/>
              <w:right w:val="single" w:sz="4" w:space="0" w:color="auto"/>
            </w:tcBorders>
          </w:tcPr>
          <w:p w:rsidR="00AF477C" w:rsidRDefault="00AF477C">
            <w:pPr>
              <w:widowControl/>
              <w:jc w:val="left"/>
              <w:rPr>
                <w:rFonts w:eastAsia="楷体_GB2312"/>
                <w:sz w:val="28"/>
              </w:rPr>
            </w:pPr>
          </w:p>
          <w:p w:rsidR="00AF477C" w:rsidRDefault="00AF477C">
            <w:pPr>
              <w:rPr>
                <w:rFonts w:eastAsia="楷体_GB2312"/>
                <w:sz w:val="28"/>
              </w:rPr>
            </w:pPr>
          </w:p>
        </w:tc>
        <w:tc>
          <w:tcPr>
            <w:tcW w:w="663" w:type="dxa"/>
            <w:vMerge/>
            <w:tcBorders>
              <w:left w:val="nil"/>
            </w:tcBorders>
          </w:tcPr>
          <w:p w:rsidR="00AF477C" w:rsidRDefault="00AF477C">
            <w:pPr>
              <w:widowControl/>
              <w:jc w:val="left"/>
              <w:rPr>
                <w:rFonts w:eastAsia="楷体_GB2312"/>
                <w:sz w:val="28"/>
              </w:rPr>
            </w:pPr>
          </w:p>
        </w:tc>
      </w:tr>
      <w:tr w:rsidR="00AF477C">
        <w:trPr>
          <w:cantSplit/>
          <w:trHeight w:val="1814"/>
        </w:trPr>
        <w:tc>
          <w:tcPr>
            <w:tcW w:w="1368" w:type="dxa"/>
            <w:tcBorders>
              <w:top w:val="single" w:sz="4" w:space="0" w:color="auto"/>
              <w:left w:val="single" w:sz="4" w:space="0" w:color="auto"/>
              <w:bottom w:val="single" w:sz="4" w:space="0" w:color="auto"/>
              <w:right w:val="single" w:sz="4" w:space="0" w:color="auto"/>
            </w:tcBorders>
            <w:vAlign w:val="center"/>
          </w:tcPr>
          <w:p w:rsidR="00AF477C" w:rsidRDefault="00DF79E7">
            <w:pPr>
              <w:rPr>
                <w:rFonts w:eastAsia="楷体_GB2312"/>
                <w:sz w:val="28"/>
              </w:rPr>
            </w:pPr>
            <w:r>
              <w:rPr>
                <w:rFonts w:eastAsia="楷体_GB2312" w:hint="eastAsia"/>
                <w:sz w:val="28"/>
              </w:rPr>
              <w:t>申请备案的事项</w:t>
            </w:r>
          </w:p>
        </w:tc>
        <w:tc>
          <w:tcPr>
            <w:tcW w:w="6537" w:type="dxa"/>
            <w:gridSpan w:val="4"/>
            <w:tcBorders>
              <w:top w:val="single" w:sz="4" w:space="0" w:color="auto"/>
              <w:left w:val="nil"/>
              <w:bottom w:val="single" w:sz="4" w:space="0" w:color="auto"/>
              <w:right w:val="single" w:sz="4" w:space="0" w:color="auto"/>
            </w:tcBorders>
          </w:tcPr>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tc>
        <w:tc>
          <w:tcPr>
            <w:tcW w:w="663" w:type="dxa"/>
            <w:vMerge/>
            <w:tcBorders>
              <w:left w:val="nil"/>
            </w:tcBorders>
          </w:tcPr>
          <w:p w:rsidR="00AF477C" w:rsidRDefault="00AF477C">
            <w:pPr>
              <w:widowControl/>
              <w:jc w:val="left"/>
              <w:rPr>
                <w:rFonts w:eastAsia="楷体_GB2312"/>
                <w:sz w:val="28"/>
              </w:rPr>
            </w:pPr>
          </w:p>
        </w:tc>
      </w:tr>
      <w:tr w:rsidR="00AF477C">
        <w:trPr>
          <w:cantSplit/>
          <w:trHeight w:val="4955"/>
        </w:trPr>
        <w:tc>
          <w:tcPr>
            <w:tcW w:w="1368" w:type="dxa"/>
            <w:tcBorders>
              <w:top w:val="single" w:sz="4" w:space="0" w:color="auto"/>
              <w:left w:val="single" w:sz="4" w:space="0" w:color="auto"/>
              <w:bottom w:val="single" w:sz="4" w:space="0" w:color="auto"/>
              <w:right w:val="single" w:sz="4" w:space="0" w:color="auto"/>
            </w:tcBorders>
          </w:tcPr>
          <w:p w:rsidR="00AF477C" w:rsidRDefault="00AF477C">
            <w:pPr>
              <w:rPr>
                <w:rFonts w:eastAsia="楷体_GB2312"/>
                <w:sz w:val="28"/>
              </w:rPr>
            </w:pPr>
          </w:p>
          <w:p w:rsidR="00AF477C" w:rsidRDefault="00AF477C" w:rsidP="00DF79E7">
            <w:pPr>
              <w:ind w:left="140" w:hangingChars="50" w:hanging="140"/>
              <w:rPr>
                <w:rFonts w:eastAsia="楷体_GB2312"/>
                <w:sz w:val="28"/>
              </w:rPr>
            </w:pPr>
          </w:p>
          <w:p w:rsidR="00AF477C" w:rsidRDefault="00AF477C" w:rsidP="00DF79E7">
            <w:pPr>
              <w:ind w:left="140" w:hangingChars="50" w:hanging="140"/>
              <w:rPr>
                <w:rFonts w:eastAsia="楷体_GB2312"/>
                <w:sz w:val="28"/>
              </w:rPr>
            </w:pPr>
          </w:p>
          <w:p w:rsidR="00AF477C" w:rsidRDefault="00DF79E7">
            <w:pPr>
              <w:rPr>
                <w:rFonts w:eastAsia="楷体_GB2312"/>
                <w:sz w:val="28"/>
              </w:rPr>
            </w:pPr>
            <w:r>
              <w:rPr>
                <w:rFonts w:eastAsia="楷体_GB2312" w:hint="eastAsia"/>
                <w:sz w:val="28"/>
              </w:rPr>
              <w:t>备案意见</w:t>
            </w:r>
          </w:p>
        </w:tc>
        <w:tc>
          <w:tcPr>
            <w:tcW w:w="6537" w:type="dxa"/>
            <w:gridSpan w:val="4"/>
            <w:tcBorders>
              <w:top w:val="single" w:sz="4" w:space="0" w:color="auto"/>
              <w:left w:val="nil"/>
              <w:bottom w:val="single" w:sz="4" w:space="0" w:color="auto"/>
              <w:right w:val="single" w:sz="4" w:space="0" w:color="auto"/>
            </w:tcBorders>
          </w:tcPr>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p w:rsidR="00AF477C" w:rsidRDefault="00AF477C">
            <w:pPr>
              <w:rPr>
                <w:rFonts w:eastAsia="楷体_GB2312"/>
                <w:sz w:val="28"/>
              </w:rPr>
            </w:pPr>
          </w:p>
        </w:tc>
        <w:tc>
          <w:tcPr>
            <w:tcW w:w="663" w:type="dxa"/>
            <w:vMerge/>
            <w:tcBorders>
              <w:left w:val="nil"/>
            </w:tcBorders>
          </w:tcPr>
          <w:p w:rsidR="00AF477C" w:rsidRDefault="00AF477C">
            <w:pPr>
              <w:widowControl/>
              <w:jc w:val="left"/>
              <w:rPr>
                <w:rFonts w:eastAsia="楷体_GB2312"/>
                <w:sz w:val="28"/>
              </w:rPr>
            </w:pPr>
          </w:p>
        </w:tc>
      </w:tr>
      <w:tr w:rsidR="00AF477C">
        <w:trPr>
          <w:cantSplit/>
          <w:trHeight w:val="640"/>
        </w:trPr>
        <w:tc>
          <w:tcPr>
            <w:tcW w:w="7905" w:type="dxa"/>
            <w:gridSpan w:val="5"/>
            <w:tcBorders>
              <w:top w:val="single" w:sz="4" w:space="0" w:color="auto"/>
              <w:left w:val="single" w:sz="4" w:space="0" w:color="auto"/>
              <w:bottom w:val="single" w:sz="4" w:space="0" w:color="auto"/>
              <w:right w:val="single" w:sz="4" w:space="0" w:color="auto"/>
            </w:tcBorders>
          </w:tcPr>
          <w:p w:rsidR="00AF477C" w:rsidRDefault="00DF79E7">
            <w:pPr>
              <w:rPr>
                <w:rFonts w:eastAsia="楷体_GB2312"/>
                <w:sz w:val="28"/>
              </w:rPr>
            </w:pPr>
            <w:r>
              <w:rPr>
                <w:rFonts w:eastAsia="楷体_GB2312" w:hint="eastAsia"/>
                <w:sz w:val="28"/>
              </w:rPr>
              <w:t>备注：</w:t>
            </w:r>
          </w:p>
        </w:tc>
        <w:tc>
          <w:tcPr>
            <w:tcW w:w="663" w:type="dxa"/>
            <w:vMerge/>
            <w:tcBorders>
              <w:left w:val="nil"/>
            </w:tcBorders>
          </w:tcPr>
          <w:p w:rsidR="00AF477C" w:rsidRDefault="00AF477C">
            <w:pPr>
              <w:widowControl/>
              <w:jc w:val="left"/>
              <w:rPr>
                <w:rFonts w:eastAsia="楷体_GB2312"/>
                <w:sz w:val="28"/>
              </w:rPr>
            </w:pPr>
          </w:p>
        </w:tc>
      </w:tr>
    </w:tbl>
    <w:p w:rsidR="00AF477C" w:rsidRDefault="00AF477C">
      <w:pPr>
        <w:spacing w:line="560" w:lineRule="exact"/>
        <w:rPr>
          <w:rFonts w:ascii="仿宋_GB2312" w:eastAsia="仿宋_GB2312"/>
          <w:color w:val="000000"/>
          <w:sz w:val="32"/>
        </w:rPr>
      </w:pPr>
    </w:p>
    <w:p w:rsidR="00AF477C" w:rsidRDefault="00AF477C"/>
    <w:sectPr w:rsidR="00AF47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00"/>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00"/>
    <w:family w:val="script"/>
    <w:pitch w:val="default"/>
    <w:sig w:usb0="00000000" w:usb1="00000000" w:usb2="00082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3AAEE"/>
    <w:rsid w:val="00AF477C"/>
    <w:rsid w:val="00DF79E7"/>
    <w:rsid w:val="7D53A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Administrator</cp:lastModifiedBy>
  <cp:revision>2</cp:revision>
  <dcterms:created xsi:type="dcterms:W3CDTF">2020-08-19T10:00:00Z</dcterms:created>
  <dcterms:modified xsi:type="dcterms:W3CDTF">2020-08-19T10:00:00Z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